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38784" w14:textId="16EDC6F5" w:rsidR="00933D76" w:rsidRPr="00A85838" w:rsidRDefault="00847846" w:rsidP="00A85838">
      <w:pPr>
        <w:pStyle w:val="Heading1"/>
        <w:rPr>
          <w:bCs/>
        </w:rPr>
      </w:pPr>
      <w:r>
        <w:rPr>
          <w:bCs/>
        </w:rPr>
        <w:t>A</w:t>
      </w:r>
      <w:r w:rsidR="00933D76" w:rsidRPr="00C655C2">
        <w:t xml:space="preserve">DASS </w:t>
      </w:r>
      <w:r w:rsidR="00933D76" w:rsidRPr="00EC3C87">
        <w:t xml:space="preserve">Expenses and </w:t>
      </w:r>
      <w:r w:rsidR="00121376">
        <w:t xml:space="preserve">Payments </w:t>
      </w:r>
      <w:r w:rsidR="00933D76" w:rsidRPr="00C655C2">
        <w:t>Policy - 202</w:t>
      </w:r>
      <w:r w:rsidR="002D45F1">
        <w:t>6</w:t>
      </w:r>
    </w:p>
    <w:p w14:paraId="13D75D2C" w14:textId="7ADE69A0" w:rsidR="00427F34" w:rsidRDefault="005933A5" w:rsidP="002C0D1C">
      <w:pPr>
        <w:pStyle w:val="Heading3"/>
      </w:pPr>
      <w:r>
        <w:t>Introduction</w:t>
      </w:r>
    </w:p>
    <w:p w14:paraId="6F267E49" w14:textId="4F93563B" w:rsidR="00BF3043" w:rsidRPr="00BF3043" w:rsidRDefault="00BF3043" w:rsidP="00BF3043">
      <w:pPr>
        <w:rPr>
          <w:color w:val="auto"/>
        </w:rPr>
      </w:pPr>
      <w:r w:rsidRPr="00BF3043">
        <w:rPr>
          <w:color w:val="auto"/>
        </w:rPr>
        <w:t>At ADASS, we know that people with lived experience, and their families, bring knowledge, insight, and wisdom that is vital to shaping</w:t>
      </w:r>
      <w:r w:rsidR="001D7C33">
        <w:rPr>
          <w:color w:val="auto"/>
        </w:rPr>
        <w:t xml:space="preserve"> </w:t>
      </w:r>
      <w:r w:rsidRPr="00BF3043">
        <w:rPr>
          <w:color w:val="auto"/>
        </w:rPr>
        <w:t>better social care services. Your voices and expertise help us do things better, and we value the time, energy, and knowledge you share.</w:t>
      </w:r>
    </w:p>
    <w:p w14:paraId="32C7BA3F" w14:textId="77777777" w:rsidR="00BF3043" w:rsidRPr="00BF3043" w:rsidRDefault="00BF3043" w:rsidP="00BF3043">
      <w:pPr>
        <w:rPr>
          <w:color w:val="auto"/>
        </w:rPr>
      </w:pPr>
      <w:r w:rsidRPr="00BF3043">
        <w:rPr>
          <w:color w:val="auto"/>
        </w:rPr>
        <w:t>We are committed to co-production and to promoting diversity and inclusion in everything we do. That means working in genuine partnership with a wide range of people and recognising that your contribution is just as important as professional expertise.</w:t>
      </w:r>
    </w:p>
    <w:p w14:paraId="3340C2F4" w14:textId="0753EA9A" w:rsidR="00BF3043" w:rsidRDefault="00BF3043" w:rsidP="00BF3043">
      <w:pPr>
        <w:rPr>
          <w:color w:val="auto"/>
        </w:rPr>
      </w:pPr>
      <w:r w:rsidRPr="00BF3043">
        <w:rPr>
          <w:color w:val="auto"/>
        </w:rPr>
        <w:t>To support this, we have co-produced a new expenses and rewards policy. Our aim is simple – to value your time and skills fairly, keep the process straightforward and respectful, and make the best use of our resources while ensuring no one is out of pocket for sharing their expertise</w:t>
      </w:r>
      <w:r w:rsidR="00EB17ED">
        <w:rPr>
          <w:color w:val="auto"/>
        </w:rPr>
        <w:t>.</w:t>
      </w:r>
    </w:p>
    <w:p w14:paraId="6B79824A" w14:textId="1926C7D6" w:rsidR="00F6261A" w:rsidRPr="00F6261A" w:rsidRDefault="00F6261A" w:rsidP="00BF3043">
      <w:pPr>
        <w:rPr>
          <w:i/>
          <w:iCs/>
          <w:color w:val="auto"/>
        </w:rPr>
      </w:pPr>
      <w:r w:rsidRPr="00F6261A">
        <w:rPr>
          <w:i/>
          <w:iCs/>
          <w:color w:val="auto"/>
        </w:rPr>
        <w:t>Please note that this policy applies only to work undertaken directly with ADASS. Each council will have its own policy tailored to local needs, including facilitating community co-production with large groups of residents to design local services</w:t>
      </w:r>
      <w:r w:rsidR="005C3558">
        <w:rPr>
          <w:i/>
          <w:iCs/>
          <w:color w:val="auto"/>
        </w:rPr>
        <w:t xml:space="preserve">. </w:t>
      </w:r>
    </w:p>
    <w:p w14:paraId="6C45D2D8" w14:textId="27B8B317" w:rsidR="002C0D1C" w:rsidRDefault="002C0D1C" w:rsidP="002C0D1C">
      <w:pPr>
        <w:pStyle w:val="Heading3"/>
      </w:pPr>
      <w:r>
        <w:t>Expenses Policy</w:t>
      </w:r>
    </w:p>
    <w:p w14:paraId="6B1EC52B" w14:textId="77777777" w:rsidR="00BD5344" w:rsidRDefault="001E3299" w:rsidP="005933A5">
      <w:pPr>
        <w:rPr>
          <w:b/>
          <w:bCs/>
          <w:color w:val="auto"/>
        </w:rPr>
      </w:pPr>
      <w:r w:rsidRPr="00BD5344">
        <w:rPr>
          <w:b/>
          <w:bCs/>
          <w:color w:val="auto"/>
        </w:rPr>
        <w:t>What are ‘</w:t>
      </w:r>
      <w:proofErr w:type="gramStart"/>
      <w:r w:rsidRPr="00BD5344">
        <w:rPr>
          <w:b/>
          <w:bCs/>
          <w:color w:val="auto"/>
        </w:rPr>
        <w:t>expenses’</w:t>
      </w:r>
      <w:proofErr w:type="gramEnd"/>
      <w:r w:rsidRPr="00BD5344">
        <w:rPr>
          <w:b/>
          <w:bCs/>
          <w:color w:val="auto"/>
        </w:rPr>
        <w:t xml:space="preserve">? </w:t>
      </w:r>
    </w:p>
    <w:p w14:paraId="09987345" w14:textId="0185E614" w:rsidR="005933A5" w:rsidRPr="006004B9" w:rsidRDefault="00C87922" w:rsidP="005933A5">
      <w:pPr>
        <w:rPr>
          <w:color w:val="auto"/>
        </w:rPr>
      </w:pPr>
      <w:r w:rsidRPr="006004B9">
        <w:rPr>
          <w:color w:val="auto"/>
        </w:rPr>
        <w:t xml:space="preserve">Expenses are costs you might need to cover to </w:t>
      </w:r>
      <w:r w:rsidR="00146330">
        <w:rPr>
          <w:color w:val="auto"/>
        </w:rPr>
        <w:t>get involved in our work</w:t>
      </w:r>
      <w:r w:rsidRPr="006004B9">
        <w:rPr>
          <w:color w:val="auto"/>
        </w:rPr>
        <w:t>, such as travel, meals, or equipment. ADASS will cover these so that sharing your expertise does not cost you money.</w:t>
      </w:r>
    </w:p>
    <w:p w14:paraId="204339EC" w14:textId="37D9D4DA" w:rsidR="00BD5344" w:rsidRDefault="00BD5344" w:rsidP="005933A5">
      <w:pPr>
        <w:rPr>
          <w:b/>
          <w:bCs/>
        </w:rPr>
      </w:pPr>
      <w:r w:rsidRPr="00BD5344">
        <w:rPr>
          <w:b/>
          <w:bCs/>
        </w:rPr>
        <w:t>Who can claim expenses?</w:t>
      </w:r>
    </w:p>
    <w:p w14:paraId="020F7753" w14:textId="77777777" w:rsidR="006004B9" w:rsidRDefault="006004B9" w:rsidP="006004B9">
      <w:pPr>
        <w:pStyle w:val="ListParagraph"/>
        <w:numPr>
          <w:ilvl w:val="0"/>
          <w:numId w:val="5"/>
        </w:numPr>
        <w:autoSpaceDE w:val="0"/>
        <w:autoSpaceDN w:val="0"/>
        <w:adjustRightInd w:val="0"/>
        <w:spacing w:after="0" w:line="240" w:lineRule="auto"/>
      </w:pPr>
      <w:r>
        <w:t>People with lived experience who have agreed in advance with ADASS to be involved in our work.</w:t>
      </w:r>
    </w:p>
    <w:p w14:paraId="6EFB8DCA" w14:textId="69C53809" w:rsidR="00BD5344" w:rsidRDefault="006004B9" w:rsidP="006004B9">
      <w:pPr>
        <w:pStyle w:val="ListParagraph"/>
        <w:numPr>
          <w:ilvl w:val="0"/>
          <w:numId w:val="5"/>
        </w:numPr>
        <w:autoSpaceDE w:val="0"/>
        <w:autoSpaceDN w:val="0"/>
        <w:adjustRightInd w:val="0"/>
        <w:spacing w:after="0" w:line="240" w:lineRule="auto"/>
        <w:contextualSpacing w:val="0"/>
      </w:pPr>
      <w:r>
        <w:t xml:space="preserve">We </w:t>
      </w:r>
      <w:proofErr w:type="gramStart"/>
      <w:r w:rsidR="004A451F">
        <w:t>aren’t able to</w:t>
      </w:r>
      <w:proofErr w:type="gramEnd"/>
      <w:r w:rsidR="004A451F">
        <w:t xml:space="preserve"> cover</w:t>
      </w:r>
      <w:r>
        <w:t xml:space="preserve"> expenses for people attending meetings or events without prior agreement.</w:t>
      </w:r>
    </w:p>
    <w:p w14:paraId="69A7CF54" w14:textId="085DC408" w:rsidR="00312009" w:rsidRDefault="00312009" w:rsidP="625E9BAD">
      <w:pPr>
        <w:pStyle w:val="ListParagraph"/>
        <w:numPr>
          <w:ilvl w:val="0"/>
          <w:numId w:val="5"/>
        </w:numPr>
        <w:autoSpaceDE w:val="0"/>
        <w:autoSpaceDN w:val="0"/>
        <w:adjustRightInd w:val="0"/>
        <w:spacing w:after="0" w:line="240" w:lineRule="auto"/>
      </w:pPr>
      <w:r>
        <w:t xml:space="preserve">You can see full details in </w:t>
      </w:r>
      <w:hyperlink w:anchor="_Annex_1_-">
        <w:r w:rsidRPr="610E880A">
          <w:rPr>
            <w:rStyle w:val="Hyperlink"/>
          </w:rPr>
          <w:t>Annex 1</w:t>
        </w:r>
      </w:hyperlink>
      <w:r w:rsidR="1B81455D">
        <w:t xml:space="preserve"> </w:t>
      </w:r>
    </w:p>
    <w:p w14:paraId="16670CEC" w14:textId="77777777" w:rsidR="00BD5344" w:rsidRPr="00BD5344" w:rsidRDefault="00BD5344" w:rsidP="00BD5344">
      <w:pPr>
        <w:spacing w:after="0" w:line="240" w:lineRule="auto"/>
      </w:pPr>
    </w:p>
    <w:p w14:paraId="49D46D22" w14:textId="723F5297" w:rsidR="002C0D1C" w:rsidRDefault="002C0D1C" w:rsidP="005933A5">
      <w:pPr>
        <w:rPr>
          <w:b/>
          <w:bCs/>
        </w:rPr>
      </w:pPr>
      <w:r>
        <w:rPr>
          <w:b/>
          <w:bCs/>
        </w:rPr>
        <w:t>How to claim expenses</w:t>
      </w:r>
    </w:p>
    <w:p w14:paraId="657165C3" w14:textId="076FC169" w:rsidR="00C86E7E" w:rsidRDefault="00440CD9" w:rsidP="005933A5">
      <w:r w:rsidRPr="00440CD9">
        <w:lastRenderedPageBreak/>
        <w:t>We</w:t>
      </w:r>
      <w:r>
        <w:t xml:space="preserve"> want to</w:t>
      </w:r>
      <w:r w:rsidRPr="00440CD9">
        <w:t xml:space="preserve"> work together to remove financial barriers so everyone can contribute fully and fairly</w:t>
      </w:r>
      <w:r w:rsidR="00C86E7E" w:rsidRPr="00440CD9">
        <w:t>.</w:t>
      </w:r>
      <w:r w:rsidR="00C86E7E" w:rsidRPr="006004B9">
        <w:t xml:space="preserve"> </w:t>
      </w:r>
      <w:r w:rsidR="00E44DB1">
        <w:t xml:space="preserve">The table below sets out the costs that we routinely cover so that no one is finically disadvantaged by working with us. However, we recognise that everyone’s situation is different, </w:t>
      </w:r>
      <w:proofErr w:type="gramStart"/>
      <w:r w:rsidR="00C86E7E" w:rsidRPr="006004B9">
        <w:t>While</w:t>
      </w:r>
      <w:proofErr w:type="gramEnd"/>
      <w:r w:rsidR="00C86E7E" w:rsidRPr="006004B9">
        <w:t xml:space="preserve"> we work within a limited budget, we aim to be as flexible and supportive as possible. If the policy does not meet your needs, please get in touch – we will work with you to find a solution.</w:t>
      </w:r>
    </w:p>
    <w:p w14:paraId="069F89CA" w14:textId="77777777" w:rsidR="00DA424C" w:rsidRPr="00DA424C" w:rsidRDefault="00DA424C" w:rsidP="00DA424C">
      <w:r w:rsidRPr="00DA424C">
        <w:t>We can pay directly for larger costs like hotels and trains. Please contact the team early to arrange this and provide the details we need – for example, hotel dates, accessibility requirements, your home train station, and railcard information if applicable.</w:t>
      </w:r>
    </w:p>
    <w:p w14:paraId="3175CDD2" w14:textId="77777777" w:rsidR="00DA424C" w:rsidRPr="00DA424C" w:rsidRDefault="00DA424C" w:rsidP="00DA424C">
      <w:r w:rsidRPr="00DA424C">
        <w:t xml:space="preserve">To claim back expenses, download our expenses form and return it to </w:t>
      </w:r>
      <w:r w:rsidRPr="00DA424C">
        <w:rPr>
          <w:b/>
          <w:bCs/>
        </w:rPr>
        <w:t>team@adass.org.uk</w:t>
      </w:r>
      <w:r w:rsidRPr="00DA424C">
        <w:t xml:space="preserve"> or to the team member you are working with. We are here to make the process as simple and supportive as possible.</w:t>
      </w:r>
    </w:p>
    <w:p w14:paraId="0F65B70D" w14:textId="77777777" w:rsidR="00DA424C" w:rsidRPr="00DA424C" w:rsidRDefault="00DA424C" w:rsidP="00DA424C">
      <w:r w:rsidRPr="00DA424C">
        <w:rPr>
          <w:b/>
          <w:bCs/>
        </w:rPr>
        <w:t>Contact</w:t>
      </w:r>
    </w:p>
    <w:p w14:paraId="2C102369" w14:textId="4DA2B918" w:rsidR="00D50951" w:rsidRDefault="00DA424C" w:rsidP="005933A5">
      <w:r w:rsidRPr="00DA424C">
        <w:t xml:space="preserve">For any questions or help with expenses, email </w:t>
      </w:r>
      <w:r w:rsidRPr="00DA424C">
        <w:rPr>
          <w:b/>
          <w:bCs/>
        </w:rPr>
        <w:t>team@adass.org.uk</w:t>
      </w:r>
    </w:p>
    <w:tbl>
      <w:tblPr>
        <w:tblStyle w:val="TableGrid"/>
        <w:tblW w:w="5000" w:type="pct"/>
        <w:tblLook w:val="04A0" w:firstRow="1" w:lastRow="0" w:firstColumn="1" w:lastColumn="0" w:noHBand="0" w:noVBand="1"/>
      </w:tblPr>
      <w:tblGrid>
        <w:gridCol w:w="3345"/>
        <w:gridCol w:w="8679"/>
        <w:gridCol w:w="3364"/>
      </w:tblGrid>
      <w:tr w:rsidR="00BD5344" w:rsidRPr="009866B2" w14:paraId="3E1FBD01" w14:textId="77777777" w:rsidTr="610E880A">
        <w:tc>
          <w:tcPr>
            <w:tcW w:w="1087" w:type="pct"/>
          </w:tcPr>
          <w:p w14:paraId="26F59BF8" w14:textId="77777777" w:rsidR="00BD5344" w:rsidRPr="009866B2" w:rsidRDefault="00BD5344" w:rsidP="00A76015">
            <w:pPr>
              <w:rPr>
                <w:b/>
                <w:bCs/>
              </w:rPr>
            </w:pPr>
            <w:r w:rsidRPr="009866B2">
              <w:rPr>
                <w:b/>
                <w:bCs/>
              </w:rPr>
              <w:t>Expense</w:t>
            </w:r>
          </w:p>
        </w:tc>
        <w:tc>
          <w:tcPr>
            <w:tcW w:w="2819" w:type="pct"/>
          </w:tcPr>
          <w:p w14:paraId="376D417A" w14:textId="77777777" w:rsidR="00BD5344" w:rsidRPr="009866B2" w:rsidRDefault="00BD5344" w:rsidP="00A76015">
            <w:pPr>
              <w:rPr>
                <w:b/>
                <w:bCs/>
              </w:rPr>
            </w:pPr>
            <w:r w:rsidRPr="009866B2">
              <w:rPr>
                <w:b/>
                <w:bCs/>
              </w:rPr>
              <w:t>Basis</w:t>
            </w:r>
          </w:p>
        </w:tc>
        <w:tc>
          <w:tcPr>
            <w:tcW w:w="1093" w:type="pct"/>
          </w:tcPr>
          <w:p w14:paraId="7575AAA0" w14:textId="77777777" w:rsidR="00BD5344" w:rsidRPr="009866B2" w:rsidRDefault="00BD5344" w:rsidP="00A76015">
            <w:pPr>
              <w:rPr>
                <w:b/>
                <w:bCs/>
              </w:rPr>
            </w:pPr>
            <w:r w:rsidRPr="009866B2">
              <w:rPr>
                <w:b/>
                <w:bCs/>
              </w:rPr>
              <w:t>Evidence</w:t>
            </w:r>
          </w:p>
        </w:tc>
      </w:tr>
      <w:tr w:rsidR="00BD5344" w14:paraId="6D2A6D98" w14:textId="77777777" w:rsidTr="610E880A">
        <w:tc>
          <w:tcPr>
            <w:tcW w:w="1087" w:type="pct"/>
          </w:tcPr>
          <w:p w14:paraId="62A29306" w14:textId="77777777" w:rsidR="00BD5344" w:rsidRDefault="00BD5344" w:rsidP="00A76015">
            <w:r>
              <w:t>Trains</w:t>
            </w:r>
          </w:p>
        </w:tc>
        <w:tc>
          <w:tcPr>
            <w:tcW w:w="2819" w:type="pct"/>
          </w:tcPr>
          <w:p w14:paraId="11EF27D9" w14:textId="4AD1937B" w:rsidR="00BD5344" w:rsidRDefault="00BD5344" w:rsidP="00A76015">
            <w:r>
              <w:t>Pre-booked standard class travel</w:t>
            </w:r>
            <w:r w:rsidR="00B96CF0">
              <w:t>. Try to use an operator that doesn’t charge a booking fee, like Train Pal.</w:t>
            </w:r>
          </w:p>
        </w:tc>
        <w:tc>
          <w:tcPr>
            <w:tcW w:w="1093" w:type="pct"/>
          </w:tcPr>
          <w:p w14:paraId="1ED85B11" w14:textId="77777777" w:rsidR="00BD5344" w:rsidRDefault="00BD5344" w:rsidP="00A76015">
            <w:r>
              <w:t>Tickets or booking confirmation</w:t>
            </w:r>
          </w:p>
        </w:tc>
      </w:tr>
      <w:tr w:rsidR="00BD5344" w14:paraId="35A59353" w14:textId="77777777" w:rsidTr="610E880A">
        <w:tc>
          <w:tcPr>
            <w:tcW w:w="1087" w:type="pct"/>
          </w:tcPr>
          <w:p w14:paraId="0FBB58EE" w14:textId="77777777" w:rsidR="00BD5344" w:rsidRDefault="00BD5344" w:rsidP="00A76015">
            <w:r>
              <w:t>Tube/Metro travel</w:t>
            </w:r>
          </w:p>
        </w:tc>
        <w:tc>
          <w:tcPr>
            <w:tcW w:w="2819" w:type="pct"/>
          </w:tcPr>
          <w:p w14:paraId="214F6DEA" w14:textId="77777777" w:rsidR="00BD5344" w:rsidRDefault="00BD5344" w:rsidP="00A76015">
            <w:r>
              <w:t>Cost</w:t>
            </w:r>
          </w:p>
        </w:tc>
        <w:tc>
          <w:tcPr>
            <w:tcW w:w="1093" w:type="pct"/>
          </w:tcPr>
          <w:p w14:paraId="7F388079" w14:textId="1DE3B443" w:rsidR="00BD5344" w:rsidRDefault="00BD5344" w:rsidP="00A76015">
            <w:r>
              <w:t>TfL Oyster print out or similar</w:t>
            </w:r>
          </w:p>
        </w:tc>
      </w:tr>
      <w:tr w:rsidR="00BD5344" w14:paraId="2551EE50" w14:textId="77777777" w:rsidTr="610E880A">
        <w:tc>
          <w:tcPr>
            <w:tcW w:w="1087" w:type="pct"/>
          </w:tcPr>
          <w:p w14:paraId="2C11AA40" w14:textId="77777777" w:rsidR="00BD5344" w:rsidRDefault="00BD5344" w:rsidP="00A76015">
            <w:r>
              <w:t>Taxi/minicab/Uber type service</w:t>
            </w:r>
          </w:p>
        </w:tc>
        <w:tc>
          <w:tcPr>
            <w:tcW w:w="2819" w:type="pct"/>
          </w:tcPr>
          <w:p w14:paraId="3CBD1D96" w14:textId="77777777" w:rsidR="00BD5344" w:rsidRDefault="00BD5344" w:rsidP="00A76015">
            <w:r>
              <w:t xml:space="preserve">If your access needs require this, or where there are </w:t>
            </w:r>
            <w:proofErr w:type="gramStart"/>
            <w:r>
              <w:t>a number of</w:t>
            </w:r>
            <w:proofErr w:type="gramEnd"/>
            <w:r>
              <w:t xml:space="preserve"> people travelling making this the best value option</w:t>
            </w:r>
          </w:p>
        </w:tc>
        <w:tc>
          <w:tcPr>
            <w:tcW w:w="1093" w:type="pct"/>
          </w:tcPr>
          <w:p w14:paraId="3E24D025" w14:textId="77777777" w:rsidR="00BD5344" w:rsidRDefault="00BD5344" w:rsidP="00A76015">
            <w:r>
              <w:t>Receipt/print out</w:t>
            </w:r>
          </w:p>
        </w:tc>
      </w:tr>
      <w:tr w:rsidR="00BD5344" w14:paraId="367F493D" w14:textId="77777777" w:rsidTr="610E880A">
        <w:tc>
          <w:tcPr>
            <w:tcW w:w="1087" w:type="pct"/>
          </w:tcPr>
          <w:p w14:paraId="533048DB" w14:textId="77777777" w:rsidR="00BD5344" w:rsidRDefault="00BD5344" w:rsidP="00A76015">
            <w:r>
              <w:t>Driving</w:t>
            </w:r>
          </w:p>
        </w:tc>
        <w:tc>
          <w:tcPr>
            <w:tcW w:w="2819" w:type="pct"/>
          </w:tcPr>
          <w:p w14:paraId="7E67D292" w14:textId="77777777" w:rsidR="00BD5344" w:rsidRDefault="00BD5344" w:rsidP="00A76015">
            <w:r>
              <w:t>45p per mile</w:t>
            </w:r>
          </w:p>
        </w:tc>
        <w:tc>
          <w:tcPr>
            <w:tcW w:w="1093" w:type="pct"/>
          </w:tcPr>
          <w:p w14:paraId="70062326" w14:textId="3BA84B91" w:rsidR="00BD5344" w:rsidRDefault="00BD5344" w:rsidP="00A76015">
            <w:r>
              <w:t>Start and end postcodes</w:t>
            </w:r>
            <w:r w:rsidR="007322A6">
              <w:t xml:space="preserve"> or a screen shot of journey </w:t>
            </w:r>
            <w:proofErr w:type="spellStart"/>
            <w:r w:rsidR="0069192A">
              <w:t>e.g</w:t>
            </w:r>
            <w:proofErr w:type="spellEnd"/>
            <w:r w:rsidR="0069192A">
              <w:t xml:space="preserve"> on google maps</w:t>
            </w:r>
          </w:p>
        </w:tc>
      </w:tr>
      <w:tr w:rsidR="00BD5344" w14:paraId="3BC07328" w14:textId="77777777" w:rsidTr="610E880A">
        <w:tc>
          <w:tcPr>
            <w:tcW w:w="1087" w:type="pct"/>
          </w:tcPr>
          <w:p w14:paraId="4C297A4F" w14:textId="77777777" w:rsidR="00BD5344" w:rsidRDefault="00BD5344" w:rsidP="00A76015">
            <w:r>
              <w:t>Food</w:t>
            </w:r>
          </w:p>
        </w:tc>
        <w:tc>
          <w:tcPr>
            <w:tcW w:w="2819" w:type="pct"/>
          </w:tcPr>
          <w:p w14:paraId="6E45F7AC" w14:textId="77777777" w:rsidR="00BD5344" w:rsidRDefault="00BD5344" w:rsidP="00A76015">
            <w:r>
              <w:t>Up to £18 per day if no food available at the event (no alcohol)</w:t>
            </w:r>
          </w:p>
        </w:tc>
        <w:tc>
          <w:tcPr>
            <w:tcW w:w="1093" w:type="pct"/>
          </w:tcPr>
          <w:p w14:paraId="0D3B6C8F" w14:textId="77777777" w:rsidR="00BD5344" w:rsidRDefault="00BD5344" w:rsidP="00A76015">
            <w:r>
              <w:t>Receipt</w:t>
            </w:r>
          </w:p>
        </w:tc>
      </w:tr>
      <w:tr w:rsidR="00BD5344" w14:paraId="23FC49C9" w14:textId="77777777" w:rsidTr="610E880A">
        <w:tc>
          <w:tcPr>
            <w:tcW w:w="1087" w:type="pct"/>
          </w:tcPr>
          <w:p w14:paraId="610E8AC3" w14:textId="77777777" w:rsidR="00BD5344" w:rsidRDefault="00BD5344" w:rsidP="00A76015">
            <w:r>
              <w:t>Hotel</w:t>
            </w:r>
          </w:p>
        </w:tc>
        <w:tc>
          <w:tcPr>
            <w:tcW w:w="2819" w:type="pct"/>
          </w:tcPr>
          <w:p w14:paraId="05EE54C1" w14:textId="77777777" w:rsidR="00BD5344" w:rsidRDefault="00BD5344" w:rsidP="00A76015">
            <w:pPr>
              <w:rPr>
                <w:vertAlign w:val="superscript"/>
              </w:rPr>
            </w:pPr>
            <w:r>
              <w:t xml:space="preserve">Outside London - £100 per night </w:t>
            </w:r>
          </w:p>
          <w:p w14:paraId="23361189" w14:textId="535CA8D9" w:rsidR="00BD5344" w:rsidRDefault="00BD5344" w:rsidP="00A76015">
            <w:pPr>
              <w:rPr>
                <w:vertAlign w:val="superscript"/>
              </w:rPr>
            </w:pPr>
            <w:r w:rsidRPr="442F005B">
              <w:rPr>
                <w:szCs w:val="22"/>
              </w:rPr>
              <w:t>London - £130 per night off peak, £150 per night peak</w:t>
            </w:r>
            <w:r>
              <w:rPr>
                <w:rStyle w:val="FootnoteReference"/>
                <w:szCs w:val="22"/>
              </w:rPr>
              <w:footnoteReference w:id="1"/>
            </w:r>
          </w:p>
        </w:tc>
        <w:tc>
          <w:tcPr>
            <w:tcW w:w="1093" w:type="pct"/>
          </w:tcPr>
          <w:p w14:paraId="6C4B68B1" w14:textId="77777777" w:rsidR="00BD5344" w:rsidRDefault="00BD5344" w:rsidP="00A76015">
            <w:r>
              <w:t>Receipt/invoice</w:t>
            </w:r>
          </w:p>
        </w:tc>
      </w:tr>
      <w:tr w:rsidR="00BD5344" w14:paraId="3523CF96" w14:textId="77777777" w:rsidTr="610E880A">
        <w:tc>
          <w:tcPr>
            <w:tcW w:w="1087" w:type="pct"/>
          </w:tcPr>
          <w:p w14:paraId="20A764AF" w14:textId="3622F141" w:rsidR="00BD5344" w:rsidRDefault="00BD5344" w:rsidP="00A76015">
            <w:r>
              <w:t>Support/Personal assistant</w:t>
            </w:r>
            <w:r w:rsidR="00F37775">
              <w:t xml:space="preserve"> (PA)</w:t>
            </w:r>
          </w:p>
        </w:tc>
        <w:tc>
          <w:tcPr>
            <w:tcW w:w="2819" w:type="pct"/>
          </w:tcPr>
          <w:p w14:paraId="59FD1650" w14:textId="3E98BFED" w:rsidR="00F37775" w:rsidRDefault="00BD5344" w:rsidP="00A76015">
            <w:r>
              <w:t xml:space="preserve">Up to </w:t>
            </w:r>
            <w:r w:rsidRPr="00F35D1D">
              <w:t>£16</w:t>
            </w:r>
            <w:r w:rsidR="007A0A86" w:rsidRPr="00F35D1D">
              <w:t>.71</w:t>
            </w:r>
            <w:r w:rsidRPr="00F35D1D">
              <w:t xml:space="preserve"> per hour capped at </w:t>
            </w:r>
            <w:r w:rsidR="007B7341" w:rsidRPr="00F35D1D">
              <w:t>133.68</w:t>
            </w:r>
            <w:r w:rsidRPr="00F35D1D">
              <w:t xml:space="preserve"> for a full day with an overnight (11pm to 7am) cap of £</w:t>
            </w:r>
            <w:r w:rsidR="0094385E" w:rsidRPr="00F35D1D">
              <w:t>100.88 (£</w:t>
            </w:r>
            <w:r w:rsidR="00F35D1D" w:rsidRPr="00F35D1D">
              <w:t>12.26 per hour)</w:t>
            </w:r>
            <w:r w:rsidRPr="00F35D1D">
              <w:t xml:space="preserve">.  Travel, accommodation and meals can be </w:t>
            </w:r>
            <w:r w:rsidRPr="00F35D1D">
              <w:lastRenderedPageBreak/>
              <w:t>claimed for a personal</w:t>
            </w:r>
            <w:r w:rsidRPr="00CC0E8E">
              <w:t xml:space="preserve"> assistant at the same rates as above.</w:t>
            </w:r>
            <w:r w:rsidR="00F37775">
              <w:t xml:space="preserve"> Please get in touch with us as soon as possible to </w:t>
            </w:r>
            <w:proofErr w:type="gramStart"/>
            <w:r w:rsidR="00F37775">
              <w:t>make arrangements</w:t>
            </w:r>
            <w:proofErr w:type="gramEnd"/>
            <w:r w:rsidR="00F37775">
              <w:t>.</w:t>
            </w:r>
          </w:p>
          <w:p w14:paraId="50CE5E0C" w14:textId="0B3A6338" w:rsidR="00BD5344" w:rsidRDefault="002F56CA" w:rsidP="00A76015">
            <w:r>
              <w:t xml:space="preserve"> See below for more details.</w:t>
            </w:r>
          </w:p>
          <w:p w14:paraId="431AE753" w14:textId="77777777" w:rsidR="00BD5344" w:rsidRDefault="00BD5344" w:rsidP="00A76015"/>
          <w:p w14:paraId="1A80DED6" w14:textId="69037182" w:rsidR="00BD5344" w:rsidRDefault="00AC6861" w:rsidP="00AC6861">
            <w:r w:rsidRPr="00AC6861">
              <w:t>The hourly rate applies from when your PA begins providing support, not just from when the event or session starts.</w:t>
            </w:r>
          </w:p>
        </w:tc>
        <w:tc>
          <w:tcPr>
            <w:tcW w:w="1093" w:type="pct"/>
          </w:tcPr>
          <w:p w14:paraId="5CF16E5D" w14:textId="77777777" w:rsidR="00BD5344" w:rsidRDefault="00BD5344" w:rsidP="00A76015"/>
        </w:tc>
      </w:tr>
      <w:tr w:rsidR="00BD5344" w14:paraId="2C7051EC" w14:textId="77777777" w:rsidTr="610E880A">
        <w:tc>
          <w:tcPr>
            <w:tcW w:w="1087" w:type="pct"/>
          </w:tcPr>
          <w:p w14:paraId="39DF7340" w14:textId="77777777" w:rsidR="00BD5344" w:rsidRDefault="00BD5344" w:rsidP="00A76015">
            <w:r>
              <w:t>Replacement carer</w:t>
            </w:r>
          </w:p>
        </w:tc>
        <w:tc>
          <w:tcPr>
            <w:tcW w:w="2819" w:type="pct"/>
          </w:tcPr>
          <w:p w14:paraId="0104318D" w14:textId="165501BE" w:rsidR="00BD5344" w:rsidRDefault="00F37775" w:rsidP="00A76015">
            <w:r w:rsidRPr="00F35D1D">
              <w:t>Up to £16</w:t>
            </w:r>
            <w:r w:rsidR="00F35D1D" w:rsidRPr="00F35D1D">
              <w:t>.71</w:t>
            </w:r>
            <w:r w:rsidRPr="00F35D1D">
              <w:t xml:space="preserve"> per hour capped at £1</w:t>
            </w:r>
            <w:r w:rsidR="00F35D1D" w:rsidRPr="00F35D1D">
              <w:t>33.68</w:t>
            </w:r>
            <w:r w:rsidRPr="00F35D1D">
              <w:t xml:space="preserve"> for a full day with an overnight (11pm to 7am) cap o</w:t>
            </w:r>
            <w:r w:rsidR="00F35D1D" w:rsidRPr="00F35D1D">
              <w:t xml:space="preserve">f £100.88 (£12.26 per hour). </w:t>
            </w:r>
          </w:p>
          <w:p w14:paraId="4C553C36" w14:textId="13B03C60" w:rsidR="00BC11F0" w:rsidRPr="00BC11F0" w:rsidRDefault="00BC11F0" w:rsidP="00A76015">
            <w:pPr>
              <w:rPr>
                <w:i/>
                <w:iCs/>
                <w:color w:val="920146" w:themeColor="accent1"/>
              </w:rPr>
            </w:pPr>
          </w:p>
        </w:tc>
        <w:tc>
          <w:tcPr>
            <w:tcW w:w="1093" w:type="pct"/>
          </w:tcPr>
          <w:p w14:paraId="7CF3B4E9" w14:textId="77777777" w:rsidR="00BD5344" w:rsidRDefault="00BD5344" w:rsidP="00A76015"/>
        </w:tc>
      </w:tr>
      <w:tr w:rsidR="00BD5344" w14:paraId="47263ABA" w14:textId="77777777" w:rsidTr="610E880A">
        <w:tc>
          <w:tcPr>
            <w:tcW w:w="1087" w:type="pct"/>
          </w:tcPr>
          <w:p w14:paraId="6C038733" w14:textId="77777777" w:rsidR="00BD5344" w:rsidRDefault="00BD5344" w:rsidP="00A76015">
            <w:r>
              <w:t>Online top up</w:t>
            </w:r>
          </w:p>
        </w:tc>
        <w:tc>
          <w:tcPr>
            <w:tcW w:w="2819" w:type="pct"/>
          </w:tcPr>
          <w:p w14:paraId="5E669FC5" w14:textId="0D8C3E48" w:rsidR="00BD5344" w:rsidRDefault="007C7E3F" w:rsidP="00A76015">
            <w:r w:rsidRPr="007C7E3F">
              <w:t>If your participation requires internet access, we can assist with these costs up to the amount of £</w:t>
            </w:r>
            <w:r w:rsidR="00EF3EFD">
              <w:t>5</w:t>
            </w:r>
          </w:p>
        </w:tc>
        <w:tc>
          <w:tcPr>
            <w:tcW w:w="1093" w:type="pct"/>
          </w:tcPr>
          <w:p w14:paraId="220C264E" w14:textId="77777777" w:rsidR="00BD5344" w:rsidRDefault="00BD5344" w:rsidP="00A76015"/>
        </w:tc>
      </w:tr>
      <w:tr w:rsidR="00BD5344" w14:paraId="4B51C66C" w14:textId="77777777" w:rsidTr="610E880A">
        <w:tc>
          <w:tcPr>
            <w:tcW w:w="1087" w:type="pct"/>
          </w:tcPr>
          <w:p w14:paraId="20A7DAD9" w14:textId="77777777" w:rsidR="00BD5344" w:rsidRDefault="00BD5344" w:rsidP="00A76015">
            <w:r>
              <w:t>Other</w:t>
            </w:r>
          </w:p>
        </w:tc>
        <w:tc>
          <w:tcPr>
            <w:tcW w:w="2819" w:type="pct"/>
          </w:tcPr>
          <w:p w14:paraId="6283722C" w14:textId="59A7E211" w:rsidR="00E50123" w:rsidRPr="00570815" w:rsidRDefault="00BD5344" w:rsidP="00A76015">
            <w:r>
              <w:t>Exceptional, by agreement with ADASS</w:t>
            </w:r>
          </w:p>
        </w:tc>
        <w:tc>
          <w:tcPr>
            <w:tcW w:w="1093" w:type="pct"/>
          </w:tcPr>
          <w:p w14:paraId="67BFFCCA" w14:textId="77777777" w:rsidR="00BD5344" w:rsidRDefault="00BD5344" w:rsidP="00A76015"/>
        </w:tc>
      </w:tr>
    </w:tbl>
    <w:p w14:paraId="6047E5B8" w14:textId="14A52852" w:rsidR="002C0D1C" w:rsidRDefault="002C0D1C" w:rsidP="005933A5">
      <w:r>
        <w:t xml:space="preserve"> </w:t>
      </w:r>
    </w:p>
    <w:p w14:paraId="40E450AA" w14:textId="77777777" w:rsidR="00A64C50" w:rsidRDefault="002F56CA" w:rsidP="00427F34">
      <w:pPr>
        <w:rPr>
          <w:b/>
          <w:bCs/>
        </w:rPr>
      </w:pPr>
      <w:r w:rsidRPr="38EC8DE6">
        <w:rPr>
          <w:b/>
          <w:bCs/>
        </w:rPr>
        <w:t>Support costs</w:t>
      </w:r>
    </w:p>
    <w:p w14:paraId="487D0064" w14:textId="06D13C25" w:rsidR="00DE23BC" w:rsidRDefault="00F46E3B" w:rsidP="00427F34">
      <w:r>
        <w:t>P</w:t>
      </w:r>
      <w:r w:rsidR="0029542D">
        <w:t>ersonal assistants</w:t>
      </w:r>
      <w:r w:rsidR="005847C7">
        <w:t xml:space="preserve"> (PA)</w:t>
      </w:r>
      <w:r w:rsidR="0029542D">
        <w:t xml:space="preserve"> or other support</w:t>
      </w:r>
      <w:r w:rsidR="002D3A5A">
        <w:t xml:space="preserve"> can be crucial to enabling </w:t>
      </w:r>
      <w:r w:rsidR="00954CB9">
        <w:t>people to get involved in co-production.</w:t>
      </w:r>
      <w:r w:rsidR="0003677F">
        <w:t xml:space="preserve"> </w:t>
      </w:r>
      <w:r w:rsidR="002F56CA" w:rsidRPr="002F56CA">
        <w:t>If</w:t>
      </w:r>
      <w:r w:rsidR="002F56CA">
        <w:t xml:space="preserve"> someone </w:t>
      </w:r>
      <w:r w:rsidR="002F56CA" w:rsidRPr="002F56CA">
        <w:t xml:space="preserve">pays a personal assistant to help them get to and participate in a co-production activity it is important they do not suffer a </w:t>
      </w:r>
      <w:r w:rsidR="0003677F">
        <w:t>disruption to their normal support routine or financial disadvantage.</w:t>
      </w:r>
    </w:p>
    <w:p w14:paraId="7941825E" w14:textId="1318B9F1" w:rsidR="005933A5" w:rsidRDefault="00C77C58" w:rsidP="00427F34">
      <w:r>
        <w:t>Our</w:t>
      </w:r>
      <w:r w:rsidR="002F56CA" w:rsidRPr="002F56CA">
        <w:t xml:space="preserve"> general principal </w:t>
      </w:r>
      <w:r w:rsidR="005C3F9E">
        <w:t xml:space="preserve">is that </w:t>
      </w:r>
      <w:r w:rsidR="002F56CA" w:rsidRPr="002F56CA">
        <w:t xml:space="preserve">additional </w:t>
      </w:r>
      <w:r w:rsidR="005847C7">
        <w:t>support needed on top of your usual support</w:t>
      </w:r>
      <w:r w:rsidR="00701851">
        <w:t xml:space="preserve"> </w:t>
      </w:r>
      <w:r w:rsidR="002F56CA" w:rsidRPr="002F56CA">
        <w:t>will be covere</w:t>
      </w:r>
      <w:r w:rsidR="002F56CA">
        <w:t>d. Please get in touch with us to work this out in advance</w:t>
      </w:r>
      <w:r w:rsidR="00D155FB">
        <w:t xml:space="preserve"> to</w:t>
      </w:r>
      <w:r w:rsidR="0087424F">
        <w:t xml:space="preserve"> ensure </w:t>
      </w:r>
      <w:r w:rsidR="00912035">
        <w:t>all the arrangements are in place to enable you to do your best work</w:t>
      </w:r>
    </w:p>
    <w:p w14:paraId="712ED7DC" w14:textId="0DB5CCD9" w:rsidR="002F56CA" w:rsidRPr="002F56CA" w:rsidRDefault="002F56CA" w:rsidP="002F56CA">
      <w:pPr>
        <w:ind w:left="720"/>
        <w:rPr>
          <w:color w:val="920146" w:themeColor="accent1"/>
          <w:sz w:val="20"/>
          <w:szCs w:val="20"/>
        </w:rPr>
      </w:pPr>
      <w:r w:rsidRPr="002F56CA">
        <w:rPr>
          <w:color w:val="920146" w:themeColor="accent1"/>
          <w:sz w:val="20"/>
          <w:szCs w:val="20"/>
        </w:rPr>
        <w:t xml:space="preserve">Example 1: I have a full time PA who I would pay anyway, even if I were staying at home. So, when I attend a co-production activity the only additional cost would be any travel, accommodation and meal expenses for the PA. </w:t>
      </w:r>
    </w:p>
    <w:p w14:paraId="49E6893F" w14:textId="49E13373" w:rsidR="002F56CA" w:rsidRPr="002F56CA" w:rsidRDefault="002F56CA" w:rsidP="002F56CA">
      <w:pPr>
        <w:ind w:left="720"/>
        <w:rPr>
          <w:color w:val="920146" w:themeColor="accent1"/>
          <w:sz w:val="20"/>
          <w:szCs w:val="20"/>
        </w:rPr>
      </w:pPr>
      <w:r w:rsidRPr="002F56CA">
        <w:rPr>
          <w:color w:val="920146" w:themeColor="accent1"/>
          <w:sz w:val="20"/>
          <w:szCs w:val="20"/>
        </w:rPr>
        <w:t>Example 2: I don’t normally need my PA to stay overnight, but I’m attending a co-production activity that involves an overnight stay</w:t>
      </w:r>
      <w:r w:rsidR="00FC091D">
        <w:rPr>
          <w:color w:val="920146" w:themeColor="accent1"/>
          <w:sz w:val="20"/>
          <w:szCs w:val="20"/>
        </w:rPr>
        <w:t xml:space="preserve"> and in a new environment with additional tasks to complete, I need the extra </w:t>
      </w:r>
      <w:proofErr w:type="gramStart"/>
      <w:r w:rsidR="00FC091D">
        <w:rPr>
          <w:color w:val="920146" w:themeColor="accent1"/>
          <w:sz w:val="20"/>
          <w:szCs w:val="20"/>
        </w:rPr>
        <w:t>support.</w:t>
      </w:r>
      <w:r w:rsidRPr="002F56CA">
        <w:rPr>
          <w:color w:val="920146" w:themeColor="accent1"/>
          <w:sz w:val="20"/>
          <w:szCs w:val="20"/>
        </w:rPr>
        <w:t>.</w:t>
      </w:r>
      <w:proofErr w:type="gramEnd"/>
      <w:r w:rsidRPr="002F56CA">
        <w:rPr>
          <w:color w:val="920146" w:themeColor="accent1"/>
          <w:sz w:val="20"/>
          <w:szCs w:val="20"/>
        </w:rPr>
        <w:t xml:space="preserve"> So, the cost of the overnight stay for my PA will be paid by ADASS.</w:t>
      </w:r>
      <w:r w:rsidR="00D35E57">
        <w:rPr>
          <w:color w:val="920146" w:themeColor="accent1"/>
          <w:sz w:val="20"/>
          <w:szCs w:val="20"/>
        </w:rPr>
        <w:t xml:space="preserve"> </w:t>
      </w:r>
    </w:p>
    <w:p w14:paraId="2C2C0D54" w14:textId="1E05F40A" w:rsidR="002F56CA" w:rsidRPr="002F56CA" w:rsidRDefault="002F56CA" w:rsidP="002F56CA">
      <w:pPr>
        <w:ind w:left="720"/>
        <w:rPr>
          <w:color w:val="920146" w:themeColor="accent1"/>
          <w:sz w:val="20"/>
          <w:szCs w:val="20"/>
        </w:rPr>
      </w:pPr>
      <w:r w:rsidRPr="002F56CA">
        <w:rPr>
          <w:color w:val="920146" w:themeColor="accent1"/>
          <w:sz w:val="20"/>
          <w:szCs w:val="20"/>
        </w:rPr>
        <w:t>Example 3: Day to day, I don’t usually have PA support, but to take part in this co-production activity I need someone with me</w:t>
      </w:r>
      <w:r w:rsidR="00227A1D">
        <w:rPr>
          <w:color w:val="920146" w:themeColor="accent1"/>
          <w:sz w:val="20"/>
          <w:szCs w:val="20"/>
        </w:rPr>
        <w:t xml:space="preserve"> to make sure I can </w:t>
      </w:r>
      <w:r w:rsidR="00182E0E">
        <w:rPr>
          <w:color w:val="920146" w:themeColor="accent1"/>
          <w:sz w:val="20"/>
          <w:szCs w:val="20"/>
        </w:rPr>
        <w:t>fully contribute and share my expertise</w:t>
      </w:r>
      <w:r w:rsidRPr="002F56CA">
        <w:rPr>
          <w:color w:val="920146" w:themeColor="accent1"/>
          <w:sz w:val="20"/>
          <w:szCs w:val="20"/>
        </w:rPr>
        <w:t>. So, the cost of employing a PA will be paid back by ADASS if I’ve had agreement from them before the meeting.</w:t>
      </w:r>
    </w:p>
    <w:p w14:paraId="497A1AA3" w14:textId="1EE8D3F1" w:rsidR="00F37775" w:rsidRDefault="00F37775" w:rsidP="00F37775">
      <w:r>
        <w:lastRenderedPageBreak/>
        <w:t>The hourly rate is payable from whenever your PA starts to support you, not just from when you start doing an activity</w:t>
      </w:r>
    </w:p>
    <w:p w14:paraId="537812C7" w14:textId="36A19909" w:rsidR="00F37775" w:rsidRDefault="00F37775" w:rsidP="00F37775">
      <w:pPr>
        <w:ind w:left="720"/>
        <w:rPr>
          <w:color w:val="920146" w:themeColor="accent1"/>
          <w:sz w:val="20"/>
          <w:szCs w:val="20"/>
        </w:rPr>
      </w:pPr>
      <w:r w:rsidRPr="00F37775">
        <w:rPr>
          <w:color w:val="920146" w:themeColor="accent1"/>
          <w:sz w:val="20"/>
          <w:szCs w:val="20"/>
        </w:rPr>
        <w:t xml:space="preserve">Example: My PA arrives to drive me to an event that I am speaking at. The drive is 1 hour each </w:t>
      </w:r>
      <w:proofErr w:type="gramStart"/>
      <w:r w:rsidRPr="00F37775">
        <w:rPr>
          <w:color w:val="920146" w:themeColor="accent1"/>
          <w:sz w:val="20"/>
          <w:szCs w:val="20"/>
        </w:rPr>
        <w:t>way</w:t>
      </w:r>
      <w:proofErr w:type="gramEnd"/>
      <w:r w:rsidRPr="00F37775">
        <w:rPr>
          <w:color w:val="920146" w:themeColor="accent1"/>
          <w:sz w:val="20"/>
          <w:szCs w:val="20"/>
        </w:rPr>
        <w:t xml:space="preserve"> and the event is 2 hours, so a total of 4 hours. If I don’t usually have a PA, I can claim back 4 </w:t>
      </w:r>
      <w:proofErr w:type="spellStart"/>
      <w:r w:rsidRPr="00F37775">
        <w:rPr>
          <w:color w:val="920146" w:themeColor="accent1"/>
          <w:sz w:val="20"/>
          <w:szCs w:val="20"/>
        </w:rPr>
        <w:t>hours worth</w:t>
      </w:r>
      <w:proofErr w:type="spellEnd"/>
      <w:r w:rsidRPr="00F37775">
        <w:rPr>
          <w:color w:val="920146" w:themeColor="accent1"/>
          <w:sz w:val="20"/>
          <w:szCs w:val="20"/>
        </w:rPr>
        <w:t xml:space="preserve"> of costs, not just the 2 hours I was at the event.</w:t>
      </w:r>
    </w:p>
    <w:p w14:paraId="5990BE0E" w14:textId="07D17C9E" w:rsidR="002F56CA" w:rsidRDefault="00121376" w:rsidP="00170A09">
      <w:pPr>
        <w:pStyle w:val="Heading3"/>
      </w:pPr>
      <w:proofErr w:type="gramStart"/>
      <w:r>
        <w:t>Payments</w:t>
      </w:r>
      <w:proofErr w:type="gramEnd"/>
      <w:r>
        <w:t xml:space="preserve"> </w:t>
      </w:r>
      <w:r w:rsidR="00E45FFA">
        <w:t>policy</w:t>
      </w:r>
    </w:p>
    <w:p w14:paraId="0DE4425E" w14:textId="77777777" w:rsidR="004208BE" w:rsidRDefault="008B6533">
      <w:pPr>
        <w:rPr>
          <w:color w:val="auto"/>
        </w:rPr>
      </w:pPr>
      <w:r w:rsidRPr="008B6533">
        <w:rPr>
          <w:color w:val="auto"/>
        </w:rPr>
        <w:t>We believe that people with lived experience bring vital expertise to our work</w:t>
      </w:r>
      <w:r>
        <w:rPr>
          <w:color w:val="auto"/>
        </w:rPr>
        <w:t xml:space="preserve"> and we are </w:t>
      </w:r>
      <w:r w:rsidRPr="005933A5">
        <w:rPr>
          <w:color w:val="auto"/>
        </w:rPr>
        <w:t xml:space="preserve">committed to recognising and fairly paying people for their </w:t>
      </w:r>
      <w:r w:rsidRPr="008B6533">
        <w:rPr>
          <w:color w:val="auto"/>
        </w:rPr>
        <w:t>contributions.</w:t>
      </w:r>
      <w:r w:rsidR="00013EB0">
        <w:rPr>
          <w:color w:val="auto"/>
        </w:rPr>
        <w:t xml:space="preserve"> </w:t>
      </w:r>
      <w:r w:rsidR="00013EB0" w:rsidRPr="00013EB0">
        <w:rPr>
          <w:color w:val="auto"/>
        </w:rPr>
        <w:t>Fair payment is about more than covering costs</w:t>
      </w:r>
      <w:r w:rsidR="008744C4">
        <w:rPr>
          <w:color w:val="auto"/>
        </w:rPr>
        <w:t xml:space="preserve">, </w:t>
      </w:r>
      <w:r w:rsidR="00013EB0" w:rsidRPr="00013EB0">
        <w:rPr>
          <w:color w:val="auto"/>
        </w:rPr>
        <w:t>it’s</w:t>
      </w:r>
      <w:r w:rsidR="008744C4">
        <w:rPr>
          <w:color w:val="auto"/>
        </w:rPr>
        <w:t xml:space="preserve"> a</w:t>
      </w:r>
      <w:r w:rsidR="00631F34">
        <w:rPr>
          <w:color w:val="auto"/>
        </w:rPr>
        <w:t xml:space="preserve">bout financial </w:t>
      </w:r>
      <w:r w:rsidR="00987707">
        <w:rPr>
          <w:color w:val="auto"/>
        </w:rPr>
        <w:t>security that we all expect from our work</w:t>
      </w:r>
      <w:r w:rsidR="004208BE">
        <w:rPr>
          <w:color w:val="auto"/>
        </w:rPr>
        <w:t>.</w:t>
      </w:r>
    </w:p>
    <w:p w14:paraId="00B7A13D" w14:textId="5200A51B" w:rsidR="002163B7" w:rsidRDefault="00005E2F">
      <w:r w:rsidRPr="00005E2F">
        <w:t xml:space="preserve">We’ve put together a guide to the different ways people with lived experience can get involved and how each role contributes to our work — from one-off activities to regular ongoing roles. </w:t>
      </w:r>
      <w:r w:rsidR="008F6EC0">
        <w:t xml:space="preserve">This can include things like speaking at events, joining policy focus groups or writing blogs. </w:t>
      </w:r>
      <w:r w:rsidRPr="00005E2F">
        <w:t xml:space="preserve">Every type of involvement is valuable, though the support and arrangements we put in place may differ depending on the role. You can see the full details in </w:t>
      </w:r>
      <w:hyperlink w:anchor="_Annex_1_-" w:history="1">
        <w:r w:rsidRPr="00312009">
          <w:rPr>
            <w:rStyle w:val="Hyperlink"/>
          </w:rPr>
          <w:t>Annex 1.</w:t>
        </w:r>
      </w:hyperlink>
    </w:p>
    <w:p w14:paraId="65D6FA2B" w14:textId="77777777" w:rsidR="00AD679F" w:rsidRDefault="002163B7">
      <w:pPr>
        <w:rPr>
          <w:b/>
          <w:bCs/>
        </w:rPr>
      </w:pPr>
      <w:r w:rsidRPr="610E880A">
        <w:rPr>
          <w:b/>
          <w:bCs/>
        </w:rPr>
        <w:t>Rates</w:t>
      </w:r>
    </w:p>
    <w:p w14:paraId="1A979533" w14:textId="1C8CC124" w:rsidR="007C7E3F" w:rsidRDefault="00AD679F">
      <w:pPr>
        <w:rPr>
          <w:u w:val="single"/>
        </w:rPr>
      </w:pPr>
      <w:r w:rsidRPr="00AD679F">
        <w:rPr>
          <w:u w:val="single"/>
        </w:rPr>
        <w:t>In person day rates</w:t>
      </w:r>
    </w:p>
    <w:p w14:paraId="6C316033" w14:textId="3C319F16" w:rsidR="006A05AB" w:rsidRPr="009C3F7B" w:rsidRDefault="00033B07" w:rsidP="00033B07">
      <w:pPr>
        <w:pStyle w:val="ListParagraph"/>
        <w:numPr>
          <w:ilvl w:val="0"/>
          <w:numId w:val="6"/>
        </w:numPr>
        <w:rPr>
          <w:color w:val="auto"/>
          <w:u w:val="single"/>
        </w:rPr>
      </w:pPr>
      <w:r w:rsidRPr="009C3F7B">
        <w:rPr>
          <w:rFonts w:eastAsia="Times New Roman" w:cs="Arial"/>
        </w:rPr>
        <w:t xml:space="preserve">We will offer payment of up to </w:t>
      </w:r>
      <w:r w:rsidR="00855A83">
        <w:rPr>
          <w:rFonts w:eastAsia="Times New Roman" w:cs="Arial"/>
        </w:rPr>
        <w:t>£167.11</w:t>
      </w:r>
      <w:r w:rsidRPr="009C3F7B">
        <w:rPr>
          <w:rFonts w:eastAsia="Times New Roman" w:cs="Arial"/>
        </w:rPr>
        <w:t xml:space="preserve"> a day for a person with lived experience presenting at an event. </w:t>
      </w:r>
    </w:p>
    <w:p w14:paraId="70FC835E" w14:textId="11CEEB30" w:rsidR="004A6C06" w:rsidRPr="009C3F7B" w:rsidRDefault="004A6C06" w:rsidP="004A6C06">
      <w:pPr>
        <w:pStyle w:val="ListParagraph"/>
        <w:numPr>
          <w:ilvl w:val="0"/>
          <w:numId w:val="6"/>
        </w:numPr>
        <w:spacing w:after="0" w:line="240" w:lineRule="auto"/>
        <w:contextualSpacing w:val="0"/>
      </w:pPr>
      <w:r w:rsidRPr="009C3F7B">
        <w:t>We will offer payments in line with figure, dependent on time spent, with half a day rate at</w:t>
      </w:r>
      <w:r w:rsidR="00855A83">
        <w:t xml:space="preserve"> £83.55</w:t>
      </w:r>
    </w:p>
    <w:p w14:paraId="46E58703" w14:textId="2AC8EED8" w:rsidR="009C3F7B" w:rsidRPr="009C3F7B" w:rsidRDefault="009C3F7B" w:rsidP="009C3F7B">
      <w:pPr>
        <w:pStyle w:val="ListParagraph"/>
        <w:numPr>
          <w:ilvl w:val="0"/>
          <w:numId w:val="6"/>
        </w:numPr>
        <w:rPr>
          <w:color w:val="auto"/>
        </w:rPr>
      </w:pPr>
      <w:r w:rsidRPr="009C3F7B">
        <w:rPr>
          <w:color w:val="auto"/>
        </w:rPr>
        <w:t>We recognise that travel takes time and can prevent you from doing other work, so travel time is included when calculating payment.</w:t>
      </w:r>
    </w:p>
    <w:p w14:paraId="010FA7D2" w14:textId="07B3D21E" w:rsidR="00177318" w:rsidRPr="003B0B5F" w:rsidRDefault="009C3F7B" w:rsidP="003B0B5F">
      <w:pPr>
        <w:ind w:left="360"/>
        <w:rPr>
          <w:color w:val="auto"/>
          <w:sz w:val="20"/>
          <w:szCs w:val="20"/>
        </w:rPr>
      </w:pPr>
      <w:r w:rsidRPr="009C3F7B">
        <w:rPr>
          <w:color w:val="920146" w:themeColor="accent1"/>
          <w:sz w:val="20"/>
          <w:szCs w:val="20"/>
        </w:rPr>
        <w:t>For example: A 2-hour journey to an event, a 3-hour event, and a 2-hour journey home counts as a full day rate. A 30-minute journey, a 1-hour event, and a 30-minute journey home counts as a half-day rate</w:t>
      </w:r>
      <w:r w:rsidRPr="009C3F7B">
        <w:rPr>
          <w:color w:val="auto"/>
          <w:sz w:val="20"/>
          <w:szCs w:val="20"/>
        </w:rPr>
        <w:t>.</w:t>
      </w:r>
    </w:p>
    <w:p w14:paraId="624019F2" w14:textId="6C89E47E" w:rsidR="00177318" w:rsidRPr="00177318" w:rsidRDefault="00081E19" w:rsidP="001B0395">
      <w:pPr>
        <w:rPr>
          <w:u w:val="single"/>
        </w:rPr>
      </w:pPr>
      <w:r w:rsidRPr="00081E19">
        <w:rPr>
          <w:u w:val="single"/>
        </w:rPr>
        <w:t>Hourly rates</w:t>
      </w:r>
    </w:p>
    <w:p w14:paraId="4C28EF2E" w14:textId="37521017" w:rsidR="00660F18" w:rsidRDefault="000C577B" w:rsidP="001B0395">
      <w:r>
        <w:t>ADASS is a hybrid organisation and many of our meetings and events are held online. For this work, we will pay an hourly rate.</w:t>
      </w:r>
    </w:p>
    <w:p w14:paraId="344E3918" w14:textId="4CDE6689" w:rsidR="001913D1" w:rsidRDefault="001913D1" w:rsidP="00F22692">
      <w:pPr>
        <w:pStyle w:val="ListParagraph"/>
        <w:numPr>
          <w:ilvl w:val="0"/>
          <w:numId w:val="9"/>
        </w:numPr>
      </w:pPr>
      <w:r>
        <w:t>We will offer a payment of</w:t>
      </w:r>
      <w:r w:rsidR="00E67483">
        <w:t xml:space="preserve"> £22.28</w:t>
      </w:r>
      <w:r>
        <w:t xml:space="preserve"> per hour</w:t>
      </w:r>
      <w:r w:rsidR="0045103F">
        <w:t xml:space="preserve"> for participating in online meetings and activities</w:t>
      </w:r>
      <w:r w:rsidR="00113AEE">
        <w:t xml:space="preserve"> up to a full day</w:t>
      </w:r>
      <w:r w:rsidR="00E67483">
        <w:t xml:space="preserve"> £167.11</w:t>
      </w:r>
    </w:p>
    <w:p w14:paraId="29E5897C" w14:textId="311E396C" w:rsidR="001B0395" w:rsidRDefault="0045103F" w:rsidP="001B0395">
      <w:pPr>
        <w:pStyle w:val="ListParagraph"/>
        <w:numPr>
          <w:ilvl w:val="0"/>
          <w:numId w:val="9"/>
        </w:numPr>
      </w:pPr>
      <w:r>
        <w:t>We will offer a payment of</w:t>
      </w:r>
      <w:r w:rsidR="00E67483">
        <w:t xml:space="preserve"> £22.28 </w:t>
      </w:r>
      <w:r>
        <w:t xml:space="preserve">per hour for preparation time for </w:t>
      </w:r>
      <w:r w:rsidR="00CB0FA4">
        <w:t>involvement in ADASS work, up to half a day</w:t>
      </w:r>
      <w:r w:rsidR="004401DE">
        <w:t xml:space="preserve"> £83.</w:t>
      </w:r>
      <w:r w:rsidR="00C63EC4">
        <w:t>55,</w:t>
      </w:r>
      <w:r w:rsidR="00836018">
        <w:t xml:space="preserve"> pre-agreed with ADASS</w:t>
      </w:r>
    </w:p>
    <w:p w14:paraId="13CDD04D" w14:textId="35C4F5A7" w:rsidR="00113AEE" w:rsidRPr="003E371C" w:rsidRDefault="00C80190" w:rsidP="00113AEE">
      <w:pPr>
        <w:ind w:left="360"/>
        <w:rPr>
          <w:color w:val="920146" w:themeColor="accent1"/>
          <w:sz w:val="20"/>
          <w:szCs w:val="20"/>
        </w:rPr>
      </w:pPr>
      <w:r w:rsidRPr="003E371C">
        <w:rPr>
          <w:color w:val="920146" w:themeColor="accent1"/>
          <w:sz w:val="20"/>
          <w:szCs w:val="20"/>
        </w:rPr>
        <w:t xml:space="preserve">Example 1: A 30 </w:t>
      </w:r>
      <w:proofErr w:type="gramStart"/>
      <w:r w:rsidRPr="003E371C">
        <w:rPr>
          <w:color w:val="920146" w:themeColor="accent1"/>
          <w:sz w:val="20"/>
          <w:szCs w:val="20"/>
        </w:rPr>
        <w:t>minutes</w:t>
      </w:r>
      <w:proofErr w:type="gramEnd"/>
      <w:r w:rsidRPr="003E371C">
        <w:rPr>
          <w:color w:val="920146" w:themeColor="accent1"/>
          <w:sz w:val="20"/>
          <w:szCs w:val="20"/>
        </w:rPr>
        <w:t xml:space="preserve"> </w:t>
      </w:r>
      <w:r w:rsidR="00E4488C" w:rsidRPr="003E371C">
        <w:rPr>
          <w:color w:val="920146" w:themeColor="accent1"/>
          <w:sz w:val="20"/>
          <w:szCs w:val="20"/>
        </w:rPr>
        <w:t xml:space="preserve">online call to talk about drafting a blog for ADASS, followed by 2 and a half hours </w:t>
      </w:r>
      <w:r w:rsidR="0039704D" w:rsidRPr="003E371C">
        <w:rPr>
          <w:color w:val="920146" w:themeColor="accent1"/>
          <w:sz w:val="20"/>
          <w:szCs w:val="20"/>
        </w:rPr>
        <w:t>writing time</w:t>
      </w:r>
      <w:r w:rsidR="00D7571D" w:rsidRPr="003E371C">
        <w:rPr>
          <w:color w:val="920146" w:themeColor="accent1"/>
          <w:sz w:val="20"/>
          <w:szCs w:val="20"/>
        </w:rPr>
        <w:t xml:space="preserve">. Payment for this work would be </w:t>
      </w:r>
      <w:r w:rsidR="003E371C" w:rsidRPr="003E371C">
        <w:rPr>
          <w:color w:val="920146" w:themeColor="accent1"/>
          <w:sz w:val="20"/>
          <w:szCs w:val="20"/>
        </w:rPr>
        <w:t>£60.</w:t>
      </w:r>
    </w:p>
    <w:p w14:paraId="44422FC7" w14:textId="67C81944" w:rsidR="003B0B5F" w:rsidRPr="003B0B5F" w:rsidRDefault="003B0B5F" w:rsidP="003B0B5F">
      <w:pPr>
        <w:rPr>
          <w:b/>
          <w:bCs/>
        </w:rPr>
      </w:pPr>
      <w:bookmarkStart w:id="0" w:name="_Annex_1_-"/>
      <w:bookmarkEnd w:id="0"/>
    </w:p>
    <w:p w14:paraId="13BDA9B7" w14:textId="7F232820" w:rsidR="00EB17ED" w:rsidRPr="00A82B20" w:rsidRDefault="00531FFF" w:rsidP="2CDC2F6A">
      <w:pPr>
        <w:rPr>
          <w:i/>
          <w:iCs/>
        </w:rPr>
      </w:pPr>
      <w:bookmarkStart w:id="1" w:name="_Hlk216448741"/>
      <w:r>
        <w:rPr>
          <w:i/>
          <w:iCs/>
        </w:rPr>
        <w:t>ADASS will review rates at regular intervals</w:t>
      </w:r>
      <w:r w:rsidR="004A27CF">
        <w:rPr>
          <w:i/>
          <w:iCs/>
        </w:rPr>
        <w:t>,</w:t>
      </w:r>
      <w:r>
        <w:rPr>
          <w:i/>
          <w:iCs/>
        </w:rPr>
        <w:t xml:space="preserve"> applying its standard process fo</w:t>
      </w:r>
      <w:r w:rsidR="00A93EF3">
        <w:rPr>
          <w:i/>
          <w:iCs/>
        </w:rPr>
        <w:t>r inflationary adjustments.</w:t>
      </w:r>
      <w:bookmarkEnd w:id="1"/>
    </w:p>
    <w:p w14:paraId="511EBDE0" w14:textId="395BD9C2" w:rsidR="00F32882" w:rsidRDefault="00F32882" w:rsidP="2CDC2F6A">
      <w:pPr>
        <w:rPr>
          <w:b/>
          <w:bCs/>
        </w:rPr>
      </w:pPr>
      <w:r w:rsidRPr="2CDC2F6A">
        <w:rPr>
          <w:b/>
          <w:bCs/>
        </w:rPr>
        <w:t xml:space="preserve">How might being paid affect me? </w:t>
      </w:r>
    </w:p>
    <w:p w14:paraId="414C2FC9" w14:textId="34C4C2B9" w:rsidR="00694D09" w:rsidRPr="00F32882" w:rsidRDefault="00694D09">
      <w:pPr>
        <w:rPr>
          <w:b/>
          <w:bCs/>
        </w:rPr>
      </w:pPr>
      <w:r w:rsidRPr="00B775D6">
        <w:t xml:space="preserve">We recognise that your financial circumstances </w:t>
      </w:r>
      <w:proofErr w:type="gramStart"/>
      <w:r w:rsidRPr="00B775D6">
        <w:t xml:space="preserve">are </w:t>
      </w:r>
      <w:r>
        <w:t xml:space="preserve"> </w:t>
      </w:r>
      <w:r w:rsidR="00163443">
        <w:t>personal</w:t>
      </w:r>
      <w:proofErr w:type="gramEnd"/>
      <w:r w:rsidR="00163443">
        <w:t xml:space="preserve"> to you </w:t>
      </w:r>
      <w:r>
        <w:t xml:space="preserve">and we will be </w:t>
      </w:r>
      <w:r w:rsidRPr="00694D09">
        <w:t>as flexible with our payment arrangements as we can to try and meet your needs.</w:t>
      </w:r>
    </w:p>
    <w:p w14:paraId="3B77C773" w14:textId="0D05F21D" w:rsidR="00DF19BD" w:rsidRDefault="00F32882">
      <w:r w:rsidRPr="00F32882">
        <w:t>Payment for co-production is considered ‘</w:t>
      </w:r>
      <w:proofErr w:type="gramStart"/>
      <w:r w:rsidRPr="00F32882">
        <w:t>earnings’</w:t>
      </w:r>
      <w:proofErr w:type="gramEnd"/>
      <w:r w:rsidRPr="00F32882">
        <w:t xml:space="preserve">. Depending on your individual circumstances, payment for co-production may affect your state benefits (including pension) or liability for tax and National Insurance. </w:t>
      </w:r>
      <w:r w:rsidR="00072B3F">
        <w:t xml:space="preserve">ADASS is not a </w:t>
      </w:r>
      <w:proofErr w:type="gramStart"/>
      <w:r w:rsidR="00072B3F">
        <w:t>benefits experts</w:t>
      </w:r>
      <w:proofErr w:type="gramEnd"/>
      <w:r w:rsidR="00072B3F">
        <w:t xml:space="preserve"> and </w:t>
      </w:r>
      <w:r w:rsidR="00072B3F" w:rsidRPr="00F32882">
        <w:t>we can’t advise on specific situations and recommend that you consult a benefits advisor if you are unsure. It is your responsibility to understand how any payment from us may affect your or your household’s state benefits (including pension) and your liability for tax and National Insurance</w:t>
      </w:r>
      <w:r w:rsidR="00EA44C1">
        <w:t>.</w:t>
      </w:r>
    </w:p>
    <w:p w14:paraId="2A51C48C" w14:textId="5AB05989" w:rsidR="00EA44C1" w:rsidRDefault="00EA44C1">
      <w:r>
        <w:t>Here are some resources with more information that you might find helpful.</w:t>
      </w:r>
    </w:p>
    <w:p w14:paraId="05936EA6" w14:textId="3C184A48" w:rsidR="00DF19BD" w:rsidRDefault="00DF19BD" w:rsidP="00EA44C1">
      <w:pPr>
        <w:pStyle w:val="ListParagraph"/>
        <w:numPr>
          <w:ilvl w:val="0"/>
          <w:numId w:val="11"/>
        </w:numPr>
      </w:pPr>
      <w:r>
        <w:t xml:space="preserve">The Co-production Collective </w:t>
      </w:r>
      <w:proofErr w:type="gramStart"/>
      <w:r>
        <w:t>have</w:t>
      </w:r>
      <w:proofErr w:type="gramEnd"/>
      <w:r>
        <w:t xml:space="preserve"> a Payments and Benefits information sheet</w:t>
      </w:r>
      <w:r w:rsidR="003A4900">
        <w:t xml:space="preserve"> (</w:t>
      </w:r>
      <w:hyperlink r:id="rId11" w:history="1">
        <w:r w:rsidR="003A4900" w:rsidRPr="003A4900">
          <w:rPr>
            <w:rStyle w:val="Hyperlink"/>
          </w:rPr>
          <w:t>PDF</w:t>
        </w:r>
      </w:hyperlink>
      <w:r w:rsidR="003A4900">
        <w:t>) (</w:t>
      </w:r>
      <w:hyperlink r:id="rId12" w:history="1">
        <w:r w:rsidR="003A4900" w:rsidRPr="0084416D">
          <w:rPr>
            <w:rStyle w:val="Hyperlink"/>
          </w:rPr>
          <w:t>Word document</w:t>
        </w:r>
      </w:hyperlink>
      <w:r w:rsidR="003A4900">
        <w:t>)</w:t>
      </w:r>
    </w:p>
    <w:p w14:paraId="4190793B" w14:textId="77777777" w:rsidR="00417F9C" w:rsidRPr="00647184" w:rsidRDefault="00417F9C" w:rsidP="00417F9C">
      <w:pPr>
        <w:pStyle w:val="ListParagraph"/>
        <w:numPr>
          <w:ilvl w:val="0"/>
          <w:numId w:val="11"/>
        </w:numPr>
        <w:rPr>
          <w:b/>
          <w:bCs/>
        </w:rPr>
      </w:pPr>
      <w:r>
        <w:t xml:space="preserve">Disability Rights UK – </w:t>
      </w:r>
      <w:hyperlink r:id="rId13" w:history="1">
        <w:r w:rsidRPr="00647184">
          <w:rPr>
            <w:rStyle w:val="Hyperlink"/>
          </w:rPr>
          <w:t>Service user involvement and payments: how they affect benefits</w:t>
        </w:r>
      </w:hyperlink>
    </w:p>
    <w:p w14:paraId="315D63A7" w14:textId="5E8ED546" w:rsidR="00937EB7" w:rsidRPr="00C66110" w:rsidRDefault="00417F9C" w:rsidP="00C66110">
      <w:pPr>
        <w:pStyle w:val="ListParagraph"/>
        <w:numPr>
          <w:ilvl w:val="0"/>
          <w:numId w:val="11"/>
        </w:numPr>
      </w:pPr>
      <w:r>
        <w:t>N</w:t>
      </w:r>
      <w:r w:rsidR="00C66110">
        <w:t xml:space="preserve">ational Institute for Health and Care Research - </w:t>
      </w:r>
      <w:hyperlink r:id="rId14" w:history="1">
        <w:r w:rsidR="00C66110" w:rsidRPr="00801E07">
          <w:rPr>
            <w:rStyle w:val="Hyperlink"/>
          </w:rPr>
          <w:t>Payment guidance for researchers and professionals involving people in research</w:t>
        </w:r>
      </w:hyperlink>
    </w:p>
    <w:p w14:paraId="46569456" w14:textId="32CEB727" w:rsidR="0084416D" w:rsidRDefault="001A23FE" w:rsidP="00EA44C1">
      <w:pPr>
        <w:pStyle w:val="ListParagraph"/>
        <w:numPr>
          <w:ilvl w:val="0"/>
          <w:numId w:val="11"/>
        </w:numPr>
      </w:pPr>
      <w:r>
        <w:t>Citizens Advice</w:t>
      </w:r>
      <w:r w:rsidR="00B567D3">
        <w:t xml:space="preserve"> – </w:t>
      </w:r>
      <w:hyperlink r:id="rId15" w:history="1">
        <w:r w:rsidR="00B567D3" w:rsidRPr="005D38ED">
          <w:rPr>
            <w:rStyle w:val="Hyperlink"/>
          </w:rPr>
          <w:t>Benefits support page</w:t>
        </w:r>
      </w:hyperlink>
      <w:r w:rsidR="005D38ED">
        <w:t>. The</w:t>
      </w:r>
      <w:r w:rsidR="003D6602">
        <w:t>ir</w:t>
      </w:r>
      <w:r w:rsidR="005D38ED">
        <w:t xml:space="preserve"> England Phoneline - </w:t>
      </w:r>
      <w:r w:rsidR="007F24CD" w:rsidRPr="007F24CD">
        <w:t>0800 144 8848</w:t>
      </w:r>
    </w:p>
    <w:p w14:paraId="2FE6AAA3" w14:textId="3647C231" w:rsidR="007F24CD" w:rsidRDefault="00ED2364" w:rsidP="00EA44C1">
      <w:pPr>
        <w:pStyle w:val="ListParagraph"/>
        <w:numPr>
          <w:ilvl w:val="0"/>
          <w:numId w:val="11"/>
        </w:numPr>
      </w:pPr>
      <w:r>
        <w:t xml:space="preserve">SCIE’s </w:t>
      </w:r>
      <w:r w:rsidR="005A66CC">
        <w:t xml:space="preserve">advice webpage: </w:t>
      </w:r>
      <w:hyperlink r:id="rId16" w:history="1">
        <w:r w:rsidR="005A66CC" w:rsidRPr="005A66CC">
          <w:rPr>
            <w:rStyle w:val="Hyperlink"/>
          </w:rPr>
          <w:t>Paying people who receive benefits: co-production and involvement.</w:t>
        </w:r>
      </w:hyperlink>
      <w:r w:rsidR="005A66CC">
        <w:t xml:space="preserve"> This page </w:t>
      </w:r>
      <w:r w:rsidR="005066E5">
        <w:t>includes a template letter that you ca</w:t>
      </w:r>
      <w:r w:rsidR="00293459">
        <w:t>n be sent to DWP/Jobcentre plus explaining the difference between co-production involvement and employment.</w:t>
      </w:r>
    </w:p>
    <w:p w14:paraId="70D8192B" w14:textId="33E65248" w:rsidR="007B4DD2" w:rsidRDefault="007B4DD2" w:rsidP="00EA44C1">
      <w:pPr>
        <w:pStyle w:val="ListParagraph"/>
        <w:numPr>
          <w:ilvl w:val="0"/>
          <w:numId w:val="11"/>
        </w:numPr>
      </w:pPr>
      <w:r>
        <w:t xml:space="preserve">Department of Work and </w:t>
      </w:r>
      <w:r w:rsidR="00A378E6">
        <w:t>P</w:t>
      </w:r>
      <w:r>
        <w:t xml:space="preserve">ensions information page: </w:t>
      </w:r>
      <w:hyperlink r:id="rId17" w:history="1">
        <w:r w:rsidR="00A378E6" w:rsidRPr="00A378E6">
          <w:rPr>
            <w:rStyle w:val="Hyperlink"/>
          </w:rPr>
          <w:t>DWP guidance for staff who make decisions about benefits</w:t>
        </w:r>
      </w:hyperlink>
    </w:p>
    <w:p w14:paraId="0E452DE7" w14:textId="5DEBECAD" w:rsidR="00DF5172" w:rsidRDefault="00DF5172" w:rsidP="00EA44C1">
      <w:pPr>
        <w:pStyle w:val="ListParagraph"/>
        <w:numPr>
          <w:ilvl w:val="0"/>
          <w:numId w:val="11"/>
        </w:numPr>
      </w:pPr>
      <w:r>
        <w:t xml:space="preserve">Department of Work and Pensions information page: </w:t>
      </w:r>
      <w:hyperlink r:id="rId18" w:history="1">
        <w:r w:rsidRPr="00DF5172">
          <w:rPr>
            <w:rStyle w:val="Hyperlink"/>
          </w:rPr>
          <w:t>Benefits: report a change in your circumstances - GOV.UK</w:t>
        </w:r>
      </w:hyperlink>
    </w:p>
    <w:p w14:paraId="059207B4" w14:textId="613A8E91" w:rsidR="00D818B3" w:rsidRDefault="00D818B3" w:rsidP="000D787D">
      <w:pPr>
        <w:pStyle w:val="ListParagraph"/>
      </w:pPr>
    </w:p>
    <w:p w14:paraId="62D8BC6B" w14:textId="48B20B33" w:rsidR="00421BE1" w:rsidRDefault="00421BE1">
      <w:pPr>
        <w:rPr>
          <w:rFonts w:eastAsiaTheme="majorEastAsia" w:cstheme="majorBidi"/>
          <w:color w:val="6D0034" w:themeColor="accent1" w:themeShade="BF"/>
          <w:sz w:val="26"/>
          <w:szCs w:val="28"/>
        </w:rPr>
      </w:pPr>
      <w:r>
        <w:br w:type="page"/>
      </w:r>
    </w:p>
    <w:p w14:paraId="2457082E" w14:textId="0C68F47F" w:rsidR="00312009" w:rsidRDefault="00312009" w:rsidP="00312009">
      <w:pPr>
        <w:pStyle w:val="Heading3"/>
      </w:pPr>
      <w:r>
        <w:lastRenderedPageBreak/>
        <w:t>Annex 1 - ADASS roles and payments</w:t>
      </w:r>
      <w:r w:rsidR="008651C0">
        <w:t>: examples of what is covered by these policies</w:t>
      </w:r>
    </w:p>
    <w:tbl>
      <w:tblPr>
        <w:tblW w:w="1575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4"/>
        <w:gridCol w:w="3119"/>
        <w:gridCol w:w="2977"/>
        <w:gridCol w:w="4536"/>
        <w:gridCol w:w="3260"/>
      </w:tblGrid>
      <w:tr w:rsidR="009917DC" w:rsidRPr="009917DC" w14:paraId="41315D8B" w14:textId="77777777" w:rsidTr="610E880A">
        <w:trPr>
          <w:trHeight w:val="140"/>
        </w:trPr>
        <w:tc>
          <w:tcPr>
            <w:tcW w:w="1864" w:type="dxa"/>
            <w:hideMark/>
          </w:tcPr>
          <w:p w14:paraId="2DE12D74" w14:textId="77777777" w:rsidR="009917DC" w:rsidRPr="009917DC" w:rsidRDefault="009917DC" w:rsidP="00A76015">
            <w:pPr>
              <w:rPr>
                <w:rFonts w:cs="Arial"/>
              </w:rPr>
            </w:pPr>
          </w:p>
        </w:tc>
        <w:tc>
          <w:tcPr>
            <w:tcW w:w="3119" w:type="dxa"/>
            <w:hideMark/>
          </w:tcPr>
          <w:p w14:paraId="329984B9" w14:textId="77777777" w:rsidR="009917DC" w:rsidRPr="009917DC" w:rsidRDefault="009917DC" w:rsidP="00A76015">
            <w:pPr>
              <w:rPr>
                <w:rFonts w:cs="Arial"/>
              </w:rPr>
            </w:pPr>
            <w:r w:rsidRPr="009917DC">
              <w:rPr>
                <w:rFonts w:cs="Arial"/>
                <w:b/>
                <w:bCs/>
              </w:rPr>
              <w:t xml:space="preserve">Role 1 </w:t>
            </w:r>
          </w:p>
        </w:tc>
        <w:tc>
          <w:tcPr>
            <w:tcW w:w="2977" w:type="dxa"/>
            <w:hideMark/>
          </w:tcPr>
          <w:p w14:paraId="46856EEB" w14:textId="77777777" w:rsidR="009917DC" w:rsidRPr="009917DC" w:rsidRDefault="009917DC" w:rsidP="00A76015">
            <w:pPr>
              <w:rPr>
                <w:rFonts w:cs="Arial"/>
              </w:rPr>
            </w:pPr>
            <w:r w:rsidRPr="009917DC">
              <w:rPr>
                <w:rFonts w:cs="Arial"/>
                <w:b/>
                <w:bCs/>
              </w:rPr>
              <w:t xml:space="preserve">Role 2 </w:t>
            </w:r>
          </w:p>
        </w:tc>
        <w:tc>
          <w:tcPr>
            <w:tcW w:w="4536" w:type="dxa"/>
            <w:hideMark/>
          </w:tcPr>
          <w:p w14:paraId="07FD12AE" w14:textId="77777777" w:rsidR="009917DC" w:rsidRPr="009917DC" w:rsidRDefault="009917DC" w:rsidP="00A76015">
            <w:pPr>
              <w:rPr>
                <w:rFonts w:cs="Arial"/>
              </w:rPr>
            </w:pPr>
            <w:r w:rsidRPr="009917DC">
              <w:rPr>
                <w:rFonts w:cs="Arial"/>
                <w:b/>
                <w:bCs/>
              </w:rPr>
              <w:t xml:space="preserve">Role 3                      </w:t>
            </w:r>
          </w:p>
        </w:tc>
        <w:tc>
          <w:tcPr>
            <w:tcW w:w="3260" w:type="dxa"/>
          </w:tcPr>
          <w:p w14:paraId="12C24081" w14:textId="77777777" w:rsidR="009917DC" w:rsidRPr="009917DC" w:rsidRDefault="009917DC" w:rsidP="00A76015">
            <w:pPr>
              <w:rPr>
                <w:rFonts w:cs="Arial"/>
              </w:rPr>
            </w:pPr>
            <w:r w:rsidRPr="009917DC">
              <w:rPr>
                <w:rFonts w:cs="Arial"/>
                <w:b/>
                <w:bCs/>
              </w:rPr>
              <w:t>Role 4</w:t>
            </w:r>
          </w:p>
        </w:tc>
      </w:tr>
      <w:tr w:rsidR="009917DC" w:rsidRPr="009917DC" w14:paraId="6EB4D8DF" w14:textId="77777777" w:rsidTr="610E880A">
        <w:trPr>
          <w:trHeight w:val="2177"/>
        </w:trPr>
        <w:tc>
          <w:tcPr>
            <w:tcW w:w="1864" w:type="dxa"/>
            <w:hideMark/>
          </w:tcPr>
          <w:p w14:paraId="1DDE7EAE" w14:textId="77777777" w:rsidR="009917DC" w:rsidRPr="009917DC" w:rsidRDefault="009917DC" w:rsidP="00A76015">
            <w:pPr>
              <w:rPr>
                <w:rFonts w:cs="Arial"/>
              </w:rPr>
            </w:pPr>
            <w:r w:rsidRPr="009917DC">
              <w:rPr>
                <w:rFonts w:cs="Arial"/>
                <w:b/>
                <w:bCs/>
              </w:rPr>
              <w:t xml:space="preserve">Description of activity </w:t>
            </w:r>
          </w:p>
        </w:tc>
        <w:tc>
          <w:tcPr>
            <w:tcW w:w="3119" w:type="dxa"/>
            <w:hideMark/>
          </w:tcPr>
          <w:p w14:paraId="7BAEA33D" w14:textId="77777777" w:rsidR="009917DC" w:rsidRPr="009917DC" w:rsidRDefault="009917DC" w:rsidP="00A76015">
            <w:pPr>
              <w:rPr>
                <w:rFonts w:cs="Arial"/>
              </w:rPr>
            </w:pPr>
            <w:r w:rsidRPr="009917DC">
              <w:rPr>
                <w:rFonts w:cs="Arial"/>
              </w:rPr>
              <w:t>Attend, respond or comment on ‘open’ engagement opportunities, including choosing to attend events/workshops/webinars on a one-off basis.</w:t>
            </w:r>
          </w:p>
        </w:tc>
        <w:tc>
          <w:tcPr>
            <w:tcW w:w="2977" w:type="dxa"/>
            <w:hideMark/>
          </w:tcPr>
          <w:p w14:paraId="75B946AE" w14:textId="77777777" w:rsidR="009917DC" w:rsidRPr="009917DC" w:rsidRDefault="009917DC" w:rsidP="00A76015">
            <w:pPr>
              <w:rPr>
                <w:rFonts w:cs="Arial"/>
              </w:rPr>
            </w:pPr>
            <w:r w:rsidRPr="009917DC">
              <w:rPr>
                <w:rFonts w:cs="Arial"/>
              </w:rPr>
              <w:t>Person with lived experience invited by ADASS to attend but not present at</w:t>
            </w:r>
            <w:r w:rsidRPr="009917DC">
              <w:rPr>
                <w:rFonts w:cs="Arial"/>
                <w:b/>
                <w:bCs/>
              </w:rPr>
              <w:t xml:space="preserve"> </w:t>
            </w:r>
            <w:r w:rsidRPr="009917DC">
              <w:rPr>
                <w:rFonts w:cs="Arial"/>
              </w:rPr>
              <w:t>workshops/ events on a one-off basis</w:t>
            </w:r>
          </w:p>
        </w:tc>
        <w:tc>
          <w:tcPr>
            <w:tcW w:w="4536" w:type="dxa"/>
            <w:hideMark/>
          </w:tcPr>
          <w:p w14:paraId="28F50C60" w14:textId="5E6C38C7" w:rsidR="00862C9A" w:rsidRDefault="009917DC" w:rsidP="00862C9A">
            <w:pPr>
              <w:rPr>
                <w:rFonts w:cs="Arial"/>
              </w:rPr>
            </w:pPr>
            <w:r w:rsidRPr="009917DC">
              <w:rPr>
                <w:rFonts w:cs="Arial"/>
              </w:rPr>
              <w:t>Person with lived experience is a member of a working group that meets regularly</w:t>
            </w:r>
            <w:r w:rsidR="00BC073A">
              <w:rPr>
                <w:rFonts w:cs="Arial"/>
              </w:rPr>
              <w:t>, consulted in an advisory role</w:t>
            </w:r>
            <w:r w:rsidRPr="009917DC">
              <w:rPr>
                <w:rFonts w:cs="Arial"/>
              </w:rPr>
              <w:t xml:space="preserve"> or</w:t>
            </w:r>
            <w:r w:rsidR="009C58C3">
              <w:rPr>
                <w:rFonts w:cs="Arial"/>
              </w:rPr>
              <w:t xml:space="preserve"> is</w:t>
            </w:r>
            <w:r w:rsidRPr="009917DC">
              <w:rPr>
                <w:rFonts w:cs="Arial"/>
              </w:rPr>
              <w:t xml:space="preserve"> invited to speak at an event</w:t>
            </w:r>
          </w:p>
          <w:p w14:paraId="5FD97439" w14:textId="77777777" w:rsidR="00862C9A" w:rsidRPr="00862C9A" w:rsidRDefault="00862C9A" w:rsidP="00862C9A">
            <w:pPr>
              <w:rPr>
                <w:rFonts w:cs="Arial"/>
              </w:rPr>
            </w:pPr>
          </w:p>
        </w:tc>
        <w:tc>
          <w:tcPr>
            <w:tcW w:w="3260" w:type="dxa"/>
          </w:tcPr>
          <w:p w14:paraId="7BD67E36" w14:textId="38902BA2" w:rsidR="009917DC" w:rsidRPr="009917DC" w:rsidRDefault="00522BEC" w:rsidP="00A76015">
            <w:pPr>
              <w:rPr>
                <w:rFonts w:cs="Arial"/>
              </w:rPr>
            </w:pPr>
            <w:r>
              <w:rPr>
                <w:rFonts w:cs="Arial"/>
              </w:rPr>
              <w:t>Person with lived experience invited to write a blog or other content for ADASS communications</w:t>
            </w:r>
          </w:p>
        </w:tc>
      </w:tr>
      <w:tr w:rsidR="009917DC" w:rsidRPr="009917DC" w14:paraId="33AA9BC5" w14:textId="77777777" w:rsidTr="610E880A">
        <w:trPr>
          <w:trHeight w:val="2533"/>
        </w:trPr>
        <w:tc>
          <w:tcPr>
            <w:tcW w:w="1864" w:type="dxa"/>
            <w:hideMark/>
          </w:tcPr>
          <w:p w14:paraId="2AF0DB93" w14:textId="77777777" w:rsidR="009917DC" w:rsidRPr="009917DC" w:rsidRDefault="009917DC" w:rsidP="00A76015">
            <w:pPr>
              <w:rPr>
                <w:rFonts w:cs="Arial"/>
              </w:rPr>
            </w:pPr>
            <w:r w:rsidRPr="009917DC">
              <w:rPr>
                <w:rFonts w:cs="Arial"/>
                <w:b/>
                <w:bCs/>
              </w:rPr>
              <w:t xml:space="preserve">Example(s) </w:t>
            </w:r>
          </w:p>
        </w:tc>
        <w:tc>
          <w:tcPr>
            <w:tcW w:w="3119" w:type="dxa"/>
            <w:hideMark/>
          </w:tcPr>
          <w:p w14:paraId="752453EA" w14:textId="77777777" w:rsidR="009917DC" w:rsidRPr="009917DC" w:rsidRDefault="009917DC" w:rsidP="00A76015">
            <w:pPr>
              <w:rPr>
                <w:rFonts w:cs="Arial"/>
              </w:rPr>
            </w:pPr>
            <w:r w:rsidRPr="009917DC">
              <w:rPr>
                <w:rFonts w:cs="Arial"/>
              </w:rPr>
              <w:t xml:space="preserve">Responding to an ADASS online survey that is sent out directly or received via meeting notes, distribution lists or e-bulletins </w:t>
            </w:r>
          </w:p>
        </w:tc>
        <w:tc>
          <w:tcPr>
            <w:tcW w:w="2977" w:type="dxa"/>
            <w:hideMark/>
          </w:tcPr>
          <w:p w14:paraId="0DB43D15" w14:textId="04EFA217" w:rsidR="009917DC" w:rsidRPr="009917DC" w:rsidRDefault="009917DC" w:rsidP="00A76015">
            <w:pPr>
              <w:rPr>
                <w:rFonts w:cs="Arial"/>
              </w:rPr>
            </w:pPr>
            <w:r w:rsidRPr="009917DC">
              <w:rPr>
                <w:rFonts w:cs="Arial"/>
              </w:rPr>
              <w:t>Joining an ADASS workshop or event as a participant (not speaker or Chair)</w:t>
            </w:r>
            <w:r w:rsidR="00991D58">
              <w:rPr>
                <w:rFonts w:cs="Arial"/>
              </w:rPr>
              <w:t>.</w:t>
            </w:r>
          </w:p>
        </w:tc>
        <w:tc>
          <w:tcPr>
            <w:tcW w:w="4536" w:type="dxa"/>
            <w:hideMark/>
          </w:tcPr>
          <w:p w14:paraId="02FA3557" w14:textId="4FD2289B" w:rsidR="009C58C3" w:rsidRDefault="009917DC" w:rsidP="00A76015">
            <w:pPr>
              <w:rPr>
                <w:rFonts w:cs="Arial"/>
              </w:rPr>
            </w:pPr>
            <w:r w:rsidRPr="009917DC">
              <w:rPr>
                <w:rFonts w:cs="Arial"/>
              </w:rPr>
              <w:t xml:space="preserve">A member that is invited to be part of the membership of an ADASS </w:t>
            </w:r>
            <w:r w:rsidR="001F2CEB">
              <w:rPr>
                <w:rFonts w:cs="Arial"/>
              </w:rPr>
              <w:t>policy n</w:t>
            </w:r>
            <w:r w:rsidRPr="009917DC">
              <w:rPr>
                <w:rFonts w:cs="Arial"/>
              </w:rPr>
              <w:t>etwor</w:t>
            </w:r>
            <w:r w:rsidR="001F2CEB">
              <w:rPr>
                <w:rFonts w:cs="Arial"/>
              </w:rPr>
              <w:t>k</w:t>
            </w:r>
          </w:p>
          <w:p w14:paraId="6BD2D384" w14:textId="1663C87B" w:rsidR="00E16217" w:rsidRDefault="00E16217" w:rsidP="00A76015">
            <w:pPr>
              <w:rPr>
                <w:rFonts w:cs="Arial"/>
              </w:rPr>
            </w:pPr>
            <w:r>
              <w:rPr>
                <w:rFonts w:cs="Arial"/>
              </w:rPr>
              <w:t xml:space="preserve">Invited to join an ADASS team meeting </w:t>
            </w:r>
            <w:r w:rsidR="001F2CEB">
              <w:rPr>
                <w:rFonts w:cs="Arial"/>
              </w:rPr>
              <w:t>on</w:t>
            </w:r>
            <w:r>
              <w:rPr>
                <w:rFonts w:cs="Arial"/>
              </w:rPr>
              <w:t xml:space="preserve"> a topic they have</w:t>
            </w:r>
            <w:r w:rsidRPr="009917DC">
              <w:rPr>
                <w:rFonts w:cs="Arial"/>
              </w:rPr>
              <w:t xml:space="preserve"> specialist knowledge, experience or training</w:t>
            </w:r>
            <w:r>
              <w:rPr>
                <w:rFonts w:cs="Arial"/>
              </w:rPr>
              <w:t xml:space="preserve"> in</w:t>
            </w:r>
          </w:p>
          <w:p w14:paraId="569818E2" w14:textId="5D031A3C" w:rsidR="009917DC" w:rsidRPr="009917DC" w:rsidRDefault="00667B39" w:rsidP="00A76015">
            <w:pPr>
              <w:rPr>
                <w:rFonts w:cs="Arial"/>
              </w:rPr>
            </w:pPr>
            <w:r w:rsidRPr="009917DC">
              <w:rPr>
                <w:rFonts w:cs="Arial"/>
              </w:rPr>
              <w:t>Chair or guest speaker at an ADASS event</w:t>
            </w:r>
            <w:r w:rsidR="00E16217">
              <w:rPr>
                <w:rFonts w:cs="Arial"/>
              </w:rPr>
              <w:t>.</w:t>
            </w:r>
          </w:p>
        </w:tc>
        <w:tc>
          <w:tcPr>
            <w:tcW w:w="3260" w:type="dxa"/>
          </w:tcPr>
          <w:p w14:paraId="23FF702B" w14:textId="5632A0B6" w:rsidR="009917DC" w:rsidRPr="009917DC" w:rsidRDefault="009917DC" w:rsidP="00A76015">
            <w:pPr>
              <w:rPr>
                <w:rFonts w:cs="Arial"/>
              </w:rPr>
            </w:pPr>
            <w:r w:rsidRPr="009917DC">
              <w:rPr>
                <w:rFonts w:cs="Arial"/>
              </w:rPr>
              <w:t xml:space="preserve">. </w:t>
            </w:r>
          </w:p>
          <w:p w14:paraId="197EE1D6" w14:textId="77777777" w:rsidR="009917DC" w:rsidRPr="009917DC" w:rsidRDefault="009917DC" w:rsidP="00A76015">
            <w:pPr>
              <w:rPr>
                <w:rFonts w:cs="Arial"/>
              </w:rPr>
            </w:pPr>
          </w:p>
        </w:tc>
      </w:tr>
      <w:tr w:rsidR="009917DC" w:rsidRPr="009917DC" w14:paraId="69499E46" w14:textId="77777777" w:rsidTr="610E880A">
        <w:trPr>
          <w:trHeight w:val="310"/>
        </w:trPr>
        <w:tc>
          <w:tcPr>
            <w:tcW w:w="1864" w:type="dxa"/>
            <w:hideMark/>
          </w:tcPr>
          <w:p w14:paraId="3326A3EB" w14:textId="77777777" w:rsidR="009917DC" w:rsidRPr="009917DC" w:rsidRDefault="009917DC" w:rsidP="00A76015">
            <w:pPr>
              <w:rPr>
                <w:rFonts w:cs="Arial"/>
              </w:rPr>
            </w:pPr>
            <w:r w:rsidRPr="009917DC">
              <w:rPr>
                <w:rFonts w:cs="Arial"/>
                <w:b/>
                <w:bCs/>
              </w:rPr>
              <w:t xml:space="preserve">Payment approach </w:t>
            </w:r>
          </w:p>
        </w:tc>
        <w:tc>
          <w:tcPr>
            <w:tcW w:w="3119" w:type="dxa"/>
            <w:hideMark/>
          </w:tcPr>
          <w:p w14:paraId="6C6B2F8E" w14:textId="77777777" w:rsidR="009917DC" w:rsidRPr="009917DC" w:rsidRDefault="009917DC" w:rsidP="00A76015">
            <w:pPr>
              <w:rPr>
                <w:rFonts w:cs="Arial"/>
              </w:rPr>
            </w:pPr>
            <w:r w:rsidRPr="009917DC">
              <w:rPr>
                <w:rFonts w:cs="Arial"/>
              </w:rPr>
              <w:t xml:space="preserve">No financial contribution </w:t>
            </w:r>
          </w:p>
        </w:tc>
        <w:tc>
          <w:tcPr>
            <w:tcW w:w="2977" w:type="dxa"/>
            <w:hideMark/>
          </w:tcPr>
          <w:p w14:paraId="670C5BD6" w14:textId="77777777" w:rsidR="009917DC" w:rsidRPr="009917DC" w:rsidRDefault="009917DC" w:rsidP="00A76015">
            <w:pPr>
              <w:rPr>
                <w:rFonts w:cs="Arial"/>
              </w:rPr>
            </w:pPr>
            <w:r w:rsidRPr="009917DC">
              <w:rPr>
                <w:rFonts w:cs="Arial"/>
              </w:rPr>
              <w:t>Expenses paid</w:t>
            </w:r>
          </w:p>
        </w:tc>
        <w:tc>
          <w:tcPr>
            <w:tcW w:w="4536" w:type="dxa"/>
            <w:hideMark/>
          </w:tcPr>
          <w:p w14:paraId="602C0751" w14:textId="77777777" w:rsidR="009917DC" w:rsidRPr="009917DC" w:rsidRDefault="42078C21" w:rsidP="00A76015">
            <w:pPr>
              <w:rPr>
                <w:rFonts w:cs="Arial"/>
              </w:rPr>
            </w:pPr>
            <w:r w:rsidRPr="610E880A">
              <w:rPr>
                <w:rFonts w:cs="Arial"/>
              </w:rPr>
              <w:t xml:space="preserve">Expenses and participation payment </w:t>
            </w:r>
          </w:p>
        </w:tc>
        <w:tc>
          <w:tcPr>
            <w:tcW w:w="3260" w:type="dxa"/>
            <w:hideMark/>
          </w:tcPr>
          <w:p w14:paraId="1421A1D1" w14:textId="77777777" w:rsidR="009917DC" w:rsidRPr="009917DC" w:rsidRDefault="009917DC" w:rsidP="00A76015">
            <w:pPr>
              <w:rPr>
                <w:rFonts w:cs="Arial"/>
              </w:rPr>
            </w:pPr>
            <w:r w:rsidRPr="009917DC">
              <w:rPr>
                <w:rFonts w:cs="Arial"/>
              </w:rPr>
              <w:t xml:space="preserve">Expenses and participation payment </w:t>
            </w:r>
          </w:p>
        </w:tc>
      </w:tr>
    </w:tbl>
    <w:p w14:paraId="5FADE96F" w14:textId="77777777" w:rsidR="009917DC" w:rsidRPr="009917DC" w:rsidRDefault="009917DC" w:rsidP="009917DC"/>
    <w:p w14:paraId="661282A4" w14:textId="3C498618" w:rsidR="610E880A" w:rsidRDefault="610E880A"/>
    <w:sectPr w:rsidR="610E880A" w:rsidSect="00427F34">
      <w:headerReference w:type="default" r:id="rId19"/>
      <w:footerReference w:type="default" r:id="rId20"/>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0F4A9" w14:textId="77777777" w:rsidR="007C5323" w:rsidRDefault="007C5323" w:rsidP="001B0395">
      <w:pPr>
        <w:spacing w:after="0" w:line="240" w:lineRule="auto"/>
      </w:pPr>
      <w:r>
        <w:separator/>
      </w:r>
    </w:p>
  </w:endnote>
  <w:endnote w:type="continuationSeparator" w:id="0">
    <w:p w14:paraId="660F1EED" w14:textId="77777777" w:rsidR="007C5323" w:rsidRDefault="007C5323" w:rsidP="001B0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 w:name="Tenorite">
    <w:charset w:val="00"/>
    <w:family w:val="auto"/>
    <w:pitch w:val="variable"/>
    <w:sig w:usb0="80000003" w:usb1="00000001"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7C20" w14:textId="77777777" w:rsidR="00EC5181" w:rsidRDefault="00EC5181">
    <w:pPr>
      <w:pStyle w:val="Footer"/>
      <w:rPr>
        <w:sz w:val="16"/>
        <w:szCs w:val="16"/>
      </w:rPr>
    </w:pPr>
    <w:r>
      <w:rPr>
        <w:noProof/>
        <w:sz w:val="16"/>
        <w:szCs w:val="16"/>
      </w:rPr>
      <mc:AlternateContent>
        <mc:Choice Requires="wps">
          <w:drawing>
            <wp:anchor distT="0" distB="0" distL="114300" distR="114300" simplePos="0" relativeHeight="251658241" behindDoc="0" locked="0" layoutInCell="1" allowOverlap="1" wp14:anchorId="545DACBE" wp14:editId="28B8DE39">
              <wp:simplePos x="0" y="0"/>
              <wp:positionH relativeFrom="column">
                <wp:posOffset>12700</wp:posOffset>
              </wp:positionH>
              <wp:positionV relativeFrom="paragraph">
                <wp:posOffset>85090</wp:posOffset>
              </wp:positionV>
              <wp:extent cx="6642100" cy="0"/>
              <wp:effectExtent l="0" t="0" r="12700" b="12700"/>
              <wp:wrapNone/>
              <wp:docPr id="1086700879" name="Straight Connector 2"/>
              <wp:cNvGraphicFramePr/>
              <a:graphic xmlns:a="http://schemas.openxmlformats.org/drawingml/2006/main">
                <a:graphicData uri="http://schemas.microsoft.com/office/word/2010/wordprocessingShape">
                  <wps:wsp>
                    <wps:cNvCnPr/>
                    <wps:spPr>
                      <a:xfrm>
                        <a:off x="0" y="0"/>
                        <a:ext cx="6642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7F699E"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pt,6.7pt" to="52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" strokecolor="#920146 [3204]" strokeweight=".5pt">
              <v:stroke joinstyle="miter"/>
            </v:line>
          </w:pict>
        </mc:Fallback>
      </mc:AlternateContent>
    </w:r>
  </w:p>
  <w:p w14:paraId="5E32C9C2" w14:textId="77777777" w:rsidR="00EC5181" w:rsidRPr="00EC5181" w:rsidRDefault="00EC5181">
    <w:pPr>
      <w:pStyle w:val="Footer"/>
      <w:rPr>
        <w:sz w:val="16"/>
        <w:szCs w:val="16"/>
      </w:rPr>
    </w:pPr>
    <w:r w:rsidRPr="00EC5181">
      <w:rPr>
        <w:sz w:val="16"/>
        <w:szCs w:val="16"/>
      </w:rPr>
      <w:t>Charity reg: 299154</w:t>
    </w:r>
    <w:r w:rsidRPr="00EC5181">
      <w:rPr>
        <w:sz w:val="16"/>
        <w:szCs w:val="16"/>
      </w:rPr>
      <w:ptab w:relativeTo="margin" w:alignment="center" w:leader="none"/>
    </w:r>
    <w:r w:rsidRPr="00EC5181">
      <w:rPr>
        <w:sz w:val="16"/>
        <w:szCs w:val="16"/>
      </w:rPr>
      <w:t>Association of Directors of Adult Social Services 18 Smith Square London SW1P 3HZ</w:t>
    </w:r>
    <w:r w:rsidRPr="00EC5181">
      <w:rPr>
        <w:sz w:val="16"/>
        <w:szCs w:val="16"/>
      </w:rPr>
      <w:ptab w:relativeTo="margin" w:alignment="right" w:leader="none"/>
    </w:r>
    <w:r>
      <w:rPr>
        <w:sz w:val="16"/>
        <w:szCs w:val="16"/>
      </w:rPr>
      <w:t>team@adass.org.uk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4AD69" w14:textId="77777777" w:rsidR="007C5323" w:rsidRDefault="007C5323" w:rsidP="001B0395">
      <w:pPr>
        <w:spacing w:after="0" w:line="240" w:lineRule="auto"/>
      </w:pPr>
      <w:r>
        <w:separator/>
      </w:r>
    </w:p>
  </w:footnote>
  <w:footnote w:type="continuationSeparator" w:id="0">
    <w:p w14:paraId="63B780D0" w14:textId="77777777" w:rsidR="007C5323" w:rsidRDefault="007C5323" w:rsidP="001B0395">
      <w:pPr>
        <w:spacing w:after="0" w:line="240" w:lineRule="auto"/>
      </w:pPr>
      <w:r>
        <w:continuationSeparator/>
      </w:r>
    </w:p>
  </w:footnote>
  <w:footnote w:id="1">
    <w:p w14:paraId="24C66D7E" w14:textId="34B2DFC5" w:rsidR="00BD5344" w:rsidRPr="00E45FFA" w:rsidRDefault="00BD5344" w:rsidP="00E45FFA">
      <w:pPr>
        <w:rPr>
          <w:vertAlign w:val="superscript"/>
        </w:rPr>
      </w:pPr>
      <w:r>
        <w:rPr>
          <w:rStyle w:val="FootnoteReference"/>
        </w:rPr>
        <w:footnoteRef/>
      </w:r>
      <w:r>
        <w:t xml:space="preserve"> </w:t>
      </w:r>
      <w:r w:rsidR="00E45FFA">
        <w:t>This is flexible where not sufficient to meet the average costs of hotels in an area or at peak times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207B" w14:textId="77777777" w:rsidR="001B0395" w:rsidRDefault="001B0395">
    <w:pPr>
      <w:pStyle w:val="Header"/>
    </w:pPr>
    <w:r>
      <w:rPr>
        <w:noProof/>
      </w:rPr>
      <w:drawing>
        <wp:anchor distT="0" distB="0" distL="114300" distR="114300" simplePos="0" relativeHeight="251658240" behindDoc="0" locked="1" layoutInCell="1" allowOverlap="0" wp14:anchorId="52BBA633" wp14:editId="03E3C733">
          <wp:simplePos x="0" y="0"/>
          <wp:positionH relativeFrom="page">
            <wp:posOffset>6124575</wp:posOffset>
          </wp:positionH>
          <wp:positionV relativeFrom="page">
            <wp:posOffset>342265</wp:posOffset>
          </wp:positionV>
          <wp:extent cx="1054735" cy="597535"/>
          <wp:effectExtent l="0" t="0" r="0" b="0"/>
          <wp:wrapTopAndBottom/>
          <wp:docPr id="12364574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45740" name="Graphic 1236457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54735" cy="5975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7B16"/>
    <w:multiLevelType w:val="hybridMultilevel"/>
    <w:tmpl w:val="C0448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97A96"/>
    <w:multiLevelType w:val="multilevel"/>
    <w:tmpl w:val="4D32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14874"/>
    <w:multiLevelType w:val="hybridMultilevel"/>
    <w:tmpl w:val="C0262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F4A3D"/>
    <w:multiLevelType w:val="hybridMultilevel"/>
    <w:tmpl w:val="EFF07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A7BC9"/>
    <w:multiLevelType w:val="hybridMultilevel"/>
    <w:tmpl w:val="3FFABC1C"/>
    <w:lvl w:ilvl="0" w:tplc="08090001">
      <w:start w:val="1"/>
      <w:numFmt w:val="bullet"/>
      <w:lvlText w:val=""/>
      <w:lvlJc w:val="left"/>
      <w:pPr>
        <w:ind w:left="720" w:hanging="360"/>
      </w:pPr>
      <w:rPr>
        <w:rFonts w:ascii="Symbol" w:hAnsi="Symbol" w:hint="default"/>
        <w:b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78349BC"/>
    <w:multiLevelType w:val="hybridMultilevel"/>
    <w:tmpl w:val="CA5C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39210B"/>
    <w:multiLevelType w:val="hybridMultilevel"/>
    <w:tmpl w:val="B9046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C2B64"/>
    <w:multiLevelType w:val="hybridMultilevel"/>
    <w:tmpl w:val="7890CAAE"/>
    <w:lvl w:ilvl="0" w:tplc="5D32BFF4">
      <w:start w:val="1"/>
      <w:numFmt w:val="bullet"/>
      <w:lvlText w:val="-"/>
      <w:lvlJc w:val="left"/>
      <w:pPr>
        <w:ind w:left="720" w:hanging="360"/>
      </w:pPr>
      <w:rPr>
        <w:rFonts w:ascii="Arial" w:eastAsia="Times New Roman"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701C2"/>
    <w:multiLevelType w:val="hybridMultilevel"/>
    <w:tmpl w:val="1A6C2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758B7"/>
    <w:multiLevelType w:val="multilevel"/>
    <w:tmpl w:val="7910D9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0E6951"/>
    <w:multiLevelType w:val="hybridMultilevel"/>
    <w:tmpl w:val="3C420B1A"/>
    <w:lvl w:ilvl="0" w:tplc="08090001">
      <w:start w:val="1"/>
      <w:numFmt w:val="bullet"/>
      <w:lvlText w:val=""/>
      <w:lvlJc w:val="left"/>
      <w:pPr>
        <w:ind w:left="720" w:hanging="360"/>
      </w:pPr>
      <w:rPr>
        <w:rFonts w:ascii="Symbol" w:hAnsi="Symbol" w:hint="default"/>
        <w:b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95F63C5"/>
    <w:multiLevelType w:val="hybridMultilevel"/>
    <w:tmpl w:val="920AF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5220466">
    <w:abstractNumId w:val="7"/>
  </w:num>
  <w:num w:numId="2" w16cid:durableId="1423798480">
    <w:abstractNumId w:val="3"/>
  </w:num>
  <w:num w:numId="3" w16cid:durableId="299382023">
    <w:abstractNumId w:val="10"/>
  </w:num>
  <w:num w:numId="4" w16cid:durableId="306978694">
    <w:abstractNumId w:val="4"/>
  </w:num>
  <w:num w:numId="5" w16cid:durableId="1436898628">
    <w:abstractNumId w:val="6"/>
  </w:num>
  <w:num w:numId="6" w16cid:durableId="904530432">
    <w:abstractNumId w:val="11"/>
  </w:num>
  <w:num w:numId="7" w16cid:durableId="123501978">
    <w:abstractNumId w:val="9"/>
  </w:num>
  <w:num w:numId="8" w16cid:durableId="953708547">
    <w:abstractNumId w:val="0"/>
  </w:num>
  <w:num w:numId="9" w16cid:durableId="1372339758">
    <w:abstractNumId w:val="5"/>
  </w:num>
  <w:num w:numId="10" w16cid:durableId="973371470">
    <w:abstractNumId w:val="2"/>
  </w:num>
  <w:num w:numId="11" w16cid:durableId="2108427533">
    <w:abstractNumId w:val="8"/>
  </w:num>
  <w:num w:numId="12" w16cid:durableId="422729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F34"/>
    <w:rsid w:val="00005E2F"/>
    <w:rsid w:val="00012F40"/>
    <w:rsid w:val="00013EB0"/>
    <w:rsid w:val="00022921"/>
    <w:rsid w:val="000304DF"/>
    <w:rsid w:val="00033B07"/>
    <w:rsid w:val="0003677F"/>
    <w:rsid w:val="0005096D"/>
    <w:rsid w:val="0005577C"/>
    <w:rsid w:val="00071F37"/>
    <w:rsid w:val="00072B3F"/>
    <w:rsid w:val="00081E19"/>
    <w:rsid w:val="00083D19"/>
    <w:rsid w:val="000A0FC0"/>
    <w:rsid w:val="000A510E"/>
    <w:rsid w:val="000B228B"/>
    <w:rsid w:val="000C3CE5"/>
    <w:rsid w:val="000C577B"/>
    <w:rsid w:val="000D787D"/>
    <w:rsid w:val="00104623"/>
    <w:rsid w:val="0011210F"/>
    <w:rsid w:val="00113AEE"/>
    <w:rsid w:val="0011778B"/>
    <w:rsid w:val="00121376"/>
    <w:rsid w:val="001339AF"/>
    <w:rsid w:val="00135902"/>
    <w:rsid w:val="001461AD"/>
    <w:rsid w:val="00146330"/>
    <w:rsid w:val="00161CE3"/>
    <w:rsid w:val="00163443"/>
    <w:rsid w:val="00170A09"/>
    <w:rsid w:val="00177318"/>
    <w:rsid w:val="00177F66"/>
    <w:rsid w:val="00182E0E"/>
    <w:rsid w:val="0019030D"/>
    <w:rsid w:val="001913D1"/>
    <w:rsid w:val="00196F67"/>
    <w:rsid w:val="001A23FE"/>
    <w:rsid w:val="001B0395"/>
    <w:rsid w:val="001C0670"/>
    <w:rsid w:val="001D26C5"/>
    <w:rsid w:val="001D7C33"/>
    <w:rsid w:val="001E3299"/>
    <w:rsid w:val="001F2CEB"/>
    <w:rsid w:val="00201FE6"/>
    <w:rsid w:val="002073EB"/>
    <w:rsid w:val="0021110E"/>
    <w:rsid w:val="00211252"/>
    <w:rsid w:val="002163B7"/>
    <w:rsid w:val="00227A1D"/>
    <w:rsid w:val="00227C41"/>
    <w:rsid w:val="00234954"/>
    <w:rsid w:val="00237B42"/>
    <w:rsid w:val="002616D0"/>
    <w:rsid w:val="00272D5E"/>
    <w:rsid w:val="00282813"/>
    <w:rsid w:val="00293459"/>
    <w:rsid w:val="00293E3F"/>
    <w:rsid w:val="0029542D"/>
    <w:rsid w:val="002C0CF7"/>
    <w:rsid w:val="002C0D1C"/>
    <w:rsid w:val="002D11B8"/>
    <w:rsid w:val="002D3A5A"/>
    <w:rsid w:val="002D45F1"/>
    <w:rsid w:val="002E4E79"/>
    <w:rsid w:val="002F56CA"/>
    <w:rsid w:val="00300009"/>
    <w:rsid w:val="00312009"/>
    <w:rsid w:val="00323BA5"/>
    <w:rsid w:val="00324A91"/>
    <w:rsid w:val="0033201A"/>
    <w:rsid w:val="00350891"/>
    <w:rsid w:val="0039704D"/>
    <w:rsid w:val="003A4900"/>
    <w:rsid w:val="003A7E27"/>
    <w:rsid w:val="003B0B5F"/>
    <w:rsid w:val="003D6602"/>
    <w:rsid w:val="003D74F9"/>
    <w:rsid w:val="003D7A0F"/>
    <w:rsid w:val="003E371C"/>
    <w:rsid w:val="003F7C57"/>
    <w:rsid w:val="00413FF5"/>
    <w:rsid w:val="00417F9C"/>
    <w:rsid w:val="004208BE"/>
    <w:rsid w:val="00421BE1"/>
    <w:rsid w:val="0042475C"/>
    <w:rsid w:val="00427F34"/>
    <w:rsid w:val="004401DE"/>
    <w:rsid w:val="004405EC"/>
    <w:rsid w:val="00440CD9"/>
    <w:rsid w:val="0045103F"/>
    <w:rsid w:val="00455F92"/>
    <w:rsid w:val="00463CCC"/>
    <w:rsid w:val="00466214"/>
    <w:rsid w:val="0046658F"/>
    <w:rsid w:val="004A18ED"/>
    <w:rsid w:val="004A27CF"/>
    <w:rsid w:val="004A451F"/>
    <w:rsid w:val="004A6C06"/>
    <w:rsid w:val="004D193F"/>
    <w:rsid w:val="004D3085"/>
    <w:rsid w:val="004E1AAD"/>
    <w:rsid w:val="004F144D"/>
    <w:rsid w:val="005066E5"/>
    <w:rsid w:val="005103E0"/>
    <w:rsid w:val="005108D7"/>
    <w:rsid w:val="00522BEC"/>
    <w:rsid w:val="00531FFF"/>
    <w:rsid w:val="00543F1C"/>
    <w:rsid w:val="00546B48"/>
    <w:rsid w:val="005538B5"/>
    <w:rsid w:val="00570815"/>
    <w:rsid w:val="005847C7"/>
    <w:rsid w:val="005933A5"/>
    <w:rsid w:val="005A14CF"/>
    <w:rsid w:val="005A25CF"/>
    <w:rsid w:val="005A5DB6"/>
    <w:rsid w:val="005A66CC"/>
    <w:rsid w:val="005A7E74"/>
    <w:rsid w:val="005B43D1"/>
    <w:rsid w:val="005B64C4"/>
    <w:rsid w:val="005C3558"/>
    <w:rsid w:val="005C3F9E"/>
    <w:rsid w:val="005D0440"/>
    <w:rsid w:val="005D173C"/>
    <w:rsid w:val="005D38ED"/>
    <w:rsid w:val="005D6409"/>
    <w:rsid w:val="005F06DC"/>
    <w:rsid w:val="005F113E"/>
    <w:rsid w:val="005F6E5E"/>
    <w:rsid w:val="006004B9"/>
    <w:rsid w:val="006219F8"/>
    <w:rsid w:val="0062792D"/>
    <w:rsid w:val="00627C09"/>
    <w:rsid w:val="00631F34"/>
    <w:rsid w:val="006410FA"/>
    <w:rsid w:val="00647184"/>
    <w:rsid w:val="00660F18"/>
    <w:rsid w:val="00667B39"/>
    <w:rsid w:val="00674266"/>
    <w:rsid w:val="0069192A"/>
    <w:rsid w:val="00694D09"/>
    <w:rsid w:val="006A05AB"/>
    <w:rsid w:val="006B596F"/>
    <w:rsid w:val="006E1332"/>
    <w:rsid w:val="00701851"/>
    <w:rsid w:val="007322A6"/>
    <w:rsid w:val="00735871"/>
    <w:rsid w:val="007412B4"/>
    <w:rsid w:val="00751435"/>
    <w:rsid w:val="00755B48"/>
    <w:rsid w:val="00764001"/>
    <w:rsid w:val="007A0A86"/>
    <w:rsid w:val="007A59C8"/>
    <w:rsid w:val="007B4DD2"/>
    <w:rsid w:val="007B7341"/>
    <w:rsid w:val="007C5323"/>
    <w:rsid w:val="007C7E3F"/>
    <w:rsid w:val="007D472D"/>
    <w:rsid w:val="007E0E82"/>
    <w:rsid w:val="007F24CD"/>
    <w:rsid w:val="00801E07"/>
    <w:rsid w:val="0080548F"/>
    <w:rsid w:val="00836018"/>
    <w:rsid w:val="0084416D"/>
    <w:rsid w:val="008445B0"/>
    <w:rsid w:val="00845A61"/>
    <w:rsid w:val="00847846"/>
    <w:rsid w:val="00855A83"/>
    <w:rsid w:val="00862C9A"/>
    <w:rsid w:val="008651C0"/>
    <w:rsid w:val="00871B6E"/>
    <w:rsid w:val="0087424F"/>
    <w:rsid w:val="008744C4"/>
    <w:rsid w:val="00876E0B"/>
    <w:rsid w:val="00880A6C"/>
    <w:rsid w:val="00880CF0"/>
    <w:rsid w:val="00891148"/>
    <w:rsid w:val="008B3477"/>
    <w:rsid w:val="008B6533"/>
    <w:rsid w:val="008C1CD5"/>
    <w:rsid w:val="008D574A"/>
    <w:rsid w:val="008F6EC0"/>
    <w:rsid w:val="008F7F07"/>
    <w:rsid w:val="009054D3"/>
    <w:rsid w:val="00912035"/>
    <w:rsid w:val="00933D76"/>
    <w:rsid w:val="00937EB7"/>
    <w:rsid w:val="0094385E"/>
    <w:rsid w:val="009505B1"/>
    <w:rsid w:val="00954CB9"/>
    <w:rsid w:val="00954EC5"/>
    <w:rsid w:val="009835B1"/>
    <w:rsid w:val="00987707"/>
    <w:rsid w:val="009917DC"/>
    <w:rsid w:val="00991D58"/>
    <w:rsid w:val="009A3BD7"/>
    <w:rsid w:val="009B26A2"/>
    <w:rsid w:val="009C3F7B"/>
    <w:rsid w:val="009C58C3"/>
    <w:rsid w:val="009D22C5"/>
    <w:rsid w:val="009E16EE"/>
    <w:rsid w:val="009E3DD4"/>
    <w:rsid w:val="009F53CC"/>
    <w:rsid w:val="00A04F52"/>
    <w:rsid w:val="00A24787"/>
    <w:rsid w:val="00A378E6"/>
    <w:rsid w:val="00A6393B"/>
    <w:rsid w:val="00A64C50"/>
    <w:rsid w:val="00A82B20"/>
    <w:rsid w:val="00A85838"/>
    <w:rsid w:val="00A93EF3"/>
    <w:rsid w:val="00AB7431"/>
    <w:rsid w:val="00AB7DBE"/>
    <w:rsid w:val="00AC6861"/>
    <w:rsid w:val="00AD679F"/>
    <w:rsid w:val="00AE4E81"/>
    <w:rsid w:val="00AF638D"/>
    <w:rsid w:val="00B132CF"/>
    <w:rsid w:val="00B205F2"/>
    <w:rsid w:val="00B2157E"/>
    <w:rsid w:val="00B44626"/>
    <w:rsid w:val="00B53E83"/>
    <w:rsid w:val="00B567D3"/>
    <w:rsid w:val="00B71ED3"/>
    <w:rsid w:val="00B775D6"/>
    <w:rsid w:val="00B90722"/>
    <w:rsid w:val="00B96CF0"/>
    <w:rsid w:val="00BA7D44"/>
    <w:rsid w:val="00BB3D60"/>
    <w:rsid w:val="00BC073A"/>
    <w:rsid w:val="00BC11F0"/>
    <w:rsid w:val="00BD5344"/>
    <w:rsid w:val="00BD5354"/>
    <w:rsid w:val="00BF3043"/>
    <w:rsid w:val="00C06B16"/>
    <w:rsid w:val="00C17CD2"/>
    <w:rsid w:val="00C30D0B"/>
    <w:rsid w:val="00C44F26"/>
    <w:rsid w:val="00C50922"/>
    <w:rsid w:val="00C63EC4"/>
    <w:rsid w:val="00C65BAA"/>
    <w:rsid w:val="00C66110"/>
    <w:rsid w:val="00C77C58"/>
    <w:rsid w:val="00C80190"/>
    <w:rsid w:val="00C80557"/>
    <w:rsid w:val="00C86E7E"/>
    <w:rsid w:val="00C87922"/>
    <w:rsid w:val="00CA6A01"/>
    <w:rsid w:val="00CB0FA4"/>
    <w:rsid w:val="00CD3473"/>
    <w:rsid w:val="00CE0FCB"/>
    <w:rsid w:val="00CF1061"/>
    <w:rsid w:val="00D11313"/>
    <w:rsid w:val="00D155FB"/>
    <w:rsid w:val="00D1587C"/>
    <w:rsid w:val="00D20199"/>
    <w:rsid w:val="00D338EB"/>
    <w:rsid w:val="00D35E57"/>
    <w:rsid w:val="00D37F28"/>
    <w:rsid w:val="00D50951"/>
    <w:rsid w:val="00D563B2"/>
    <w:rsid w:val="00D73631"/>
    <w:rsid w:val="00D744DB"/>
    <w:rsid w:val="00D7571D"/>
    <w:rsid w:val="00D818B3"/>
    <w:rsid w:val="00D84B7F"/>
    <w:rsid w:val="00D8641F"/>
    <w:rsid w:val="00DA424C"/>
    <w:rsid w:val="00DA49D2"/>
    <w:rsid w:val="00DE23BC"/>
    <w:rsid w:val="00DE4D8F"/>
    <w:rsid w:val="00DF19BD"/>
    <w:rsid w:val="00DF41EA"/>
    <w:rsid w:val="00DF5172"/>
    <w:rsid w:val="00E16217"/>
    <w:rsid w:val="00E2000C"/>
    <w:rsid w:val="00E2592B"/>
    <w:rsid w:val="00E318AE"/>
    <w:rsid w:val="00E34F28"/>
    <w:rsid w:val="00E4488C"/>
    <w:rsid w:val="00E44DB1"/>
    <w:rsid w:val="00E45122"/>
    <w:rsid w:val="00E45FFA"/>
    <w:rsid w:val="00E50123"/>
    <w:rsid w:val="00E64A77"/>
    <w:rsid w:val="00E66DEF"/>
    <w:rsid w:val="00E67483"/>
    <w:rsid w:val="00E82492"/>
    <w:rsid w:val="00E938FD"/>
    <w:rsid w:val="00E95CA3"/>
    <w:rsid w:val="00EA13CC"/>
    <w:rsid w:val="00EA44C1"/>
    <w:rsid w:val="00EB17ED"/>
    <w:rsid w:val="00EC5181"/>
    <w:rsid w:val="00ED12DF"/>
    <w:rsid w:val="00ED2364"/>
    <w:rsid w:val="00ED2555"/>
    <w:rsid w:val="00ED6B7E"/>
    <w:rsid w:val="00EE0D1A"/>
    <w:rsid w:val="00EE5F66"/>
    <w:rsid w:val="00EF3EFD"/>
    <w:rsid w:val="00EF4E5F"/>
    <w:rsid w:val="00F008E0"/>
    <w:rsid w:val="00F05E1C"/>
    <w:rsid w:val="00F22692"/>
    <w:rsid w:val="00F32882"/>
    <w:rsid w:val="00F35D1D"/>
    <w:rsid w:val="00F37775"/>
    <w:rsid w:val="00F46E3B"/>
    <w:rsid w:val="00F50F0F"/>
    <w:rsid w:val="00F54C87"/>
    <w:rsid w:val="00F55834"/>
    <w:rsid w:val="00F60FAA"/>
    <w:rsid w:val="00F6261A"/>
    <w:rsid w:val="00F76E26"/>
    <w:rsid w:val="00F77708"/>
    <w:rsid w:val="00F94C76"/>
    <w:rsid w:val="00FA04A9"/>
    <w:rsid w:val="00FC091D"/>
    <w:rsid w:val="00FC4C77"/>
    <w:rsid w:val="00FC7B8C"/>
    <w:rsid w:val="00FE6B93"/>
    <w:rsid w:val="00FF7574"/>
    <w:rsid w:val="01914FC7"/>
    <w:rsid w:val="035BE02B"/>
    <w:rsid w:val="03644372"/>
    <w:rsid w:val="0501E906"/>
    <w:rsid w:val="05F44CCA"/>
    <w:rsid w:val="072B8DD8"/>
    <w:rsid w:val="089F7480"/>
    <w:rsid w:val="0A0B8D3D"/>
    <w:rsid w:val="0F0A7401"/>
    <w:rsid w:val="111A63C0"/>
    <w:rsid w:val="1281A4C9"/>
    <w:rsid w:val="15ADAF80"/>
    <w:rsid w:val="15E8C16E"/>
    <w:rsid w:val="18F8A329"/>
    <w:rsid w:val="197C7677"/>
    <w:rsid w:val="1AF1ACC8"/>
    <w:rsid w:val="1B81455D"/>
    <w:rsid w:val="212342DB"/>
    <w:rsid w:val="21922D83"/>
    <w:rsid w:val="226B9C61"/>
    <w:rsid w:val="2373A342"/>
    <w:rsid w:val="24714842"/>
    <w:rsid w:val="24915D59"/>
    <w:rsid w:val="2CDC2F6A"/>
    <w:rsid w:val="2F4D3E75"/>
    <w:rsid w:val="321C3681"/>
    <w:rsid w:val="38EC8DE6"/>
    <w:rsid w:val="3C8E06BF"/>
    <w:rsid w:val="3FA744CD"/>
    <w:rsid w:val="42078C21"/>
    <w:rsid w:val="4AA1C721"/>
    <w:rsid w:val="4D14FEF7"/>
    <w:rsid w:val="5D745678"/>
    <w:rsid w:val="5DAD9FB0"/>
    <w:rsid w:val="5F9B2DF4"/>
    <w:rsid w:val="610E880A"/>
    <w:rsid w:val="61BC0C42"/>
    <w:rsid w:val="625E9BAD"/>
    <w:rsid w:val="637574E6"/>
    <w:rsid w:val="6531CE84"/>
    <w:rsid w:val="661549B9"/>
    <w:rsid w:val="68F56726"/>
    <w:rsid w:val="698EFB4F"/>
    <w:rsid w:val="73F57695"/>
    <w:rsid w:val="73FBA3AF"/>
    <w:rsid w:val="76057C18"/>
    <w:rsid w:val="7939A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DECFB"/>
  <w15:chartTrackingRefBased/>
  <w15:docId w15:val="{71560600-A161-4FFF-A0C5-E9F5704A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93"/>
    <w:rPr>
      <w:rFonts w:ascii="DM Sans" w:hAnsi="DM Sans"/>
      <w:color w:val="000000" w:themeColor="text1"/>
      <w:sz w:val="22"/>
    </w:rPr>
  </w:style>
  <w:style w:type="paragraph" w:styleId="Heading1">
    <w:name w:val="heading 1"/>
    <w:basedOn w:val="Normal"/>
    <w:next w:val="Normal"/>
    <w:link w:val="Heading1Char"/>
    <w:uiPriority w:val="9"/>
    <w:qFormat/>
    <w:rsid w:val="001B0395"/>
    <w:pPr>
      <w:keepNext/>
      <w:keepLines/>
      <w:spacing w:before="360" w:after="80"/>
      <w:outlineLvl w:val="0"/>
    </w:pPr>
    <w:rPr>
      <w:rFonts w:eastAsiaTheme="majorEastAsia" w:cstheme="majorBidi"/>
      <w:color w:val="1D2A50" w:themeColor="text2"/>
      <w:sz w:val="40"/>
      <w:szCs w:val="40"/>
    </w:rPr>
  </w:style>
  <w:style w:type="paragraph" w:styleId="Heading2">
    <w:name w:val="heading 2"/>
    <w:basedOn w:val="Normal"/>
    <w:next w:val="Normal"/>
    <w:link w:val="Heading2Char"/>
    <w:uiPriority w:val="9"/>
    <w:unhideWhenUsed/>
    <w:qFormat/>
    <w:rsid w:val="001B0395"/>
    <w:pPr>
      <w:keepNext/>
      <w:keepLines/>
      <w:spacing w:before="160" w:after="80"/>
      <w:outlineLvl w:val="1"/>
    </w:pPr>
    <w:rPr>
      <w:rFonts w:eastAsiaTheme="majorEastAsia" w:cstheme="majorBidi"/>
      <w:b/>
      <w:color w:val="1D2A50" w:themeColor="text2"/>
      <w:sz w:val="28"/>
      <w:szCs w:val="32"/>
    </w:rPr>
  </w:style>
  <w:style w:type="paragraph" w:styleId="Heading3">
    <w:name w:val="heading 3"/>
    <w:basedOn w:val="Normal"/>
    <w:next w:val="Normal"/>
    <w:link w:val="Heading3Char"/>
    <w:uiPriority w:val="9"/>
    <w:unhideWhenUsed/>
    <w:qFormat/>
    <w:rsid w:val="001B0395"/>
    <w:pPr>
      <w:keepNext/>
      <w:keepLines/>
      <w:spacing w:before="160" w:after="80"/>
      <w:outlineLvl w:val="2"/>
    </w:pPr>
    <w:rPr>
      <w:rFonts w:eastAsiaTheme="majorEastAsia" w:cstheme="majorBidi"/>
      <w:color w:val="6D0034" w:themeColor="accent1" w:themeShade="BF"/>
      <w:sz w:val="26"/>
      <w:szCs w:val="28"/>
    </w:rPr>
  </w:style>
  <w:style w:type="paragraph" w:styleId="Heading4">
    <w:name w:val="heading 4"/>
    <w:basedOn w:val="Normal"/>
    <w:next w:val="Normal"/>
    <w:link w:val="Heading4Char"/>
    <w:uiPriority w:val="9"/>
    <w:semiHidden/>
    <w:unhideWhenUsed/>
    <w:qFormat/>
    <w:rsid w:val="001B0395"/>
    <w:pPr>
      <w:keepNext/>
      <w:keepLines/>
      <w:spacing w:before="80" w:after="40"/>
      <w:outlineLvl w:val="3"/>
    </w:pPr>
    <w:rPr>
      <w:rFonts w:eastAsiaTheme="majorEastAsia" w:cstheme="majorBidi"/>
      <w:b/>
      <w:iCs/>
      <w:color w:val="6D0034" w:themeColor="accent1" w:themeShade="BF"/>
      <w:sz w:val="24"/>
    </w:rPr>
  </w:style>
  <w:style w:type="paragraph" w:styleId="Heading5">
    <w:name w:val="heading 5"/>
    <w:basedOn w:val="Normal"/>
    <w:next w:val="Normal"/>
    <w:link w:val="Heading5Char"/>
    <w:uiPriority w:val="9"/>
    <w:semiHidden/>
    <w:unhideWhenUsed/>
    <w:qFormat/>
    <w:rsid w:val="009E3DD4"/>
    <w:pPr>
      <w:keepNext/>
      <w:keepLines/>
      <w:spacing w:before="80" w:after="40"/>
      <w:outlineLvl w:val="4"/>
    </w:pPr>
    <w:rPr>
      <w:rFonts w:eastAsiaTheme="majorEastAsia" w:cstheme="majorBidi"/>
      <w:color w:val="6D0034" w:themeColor="accent1" w:themeShade="BF"/>
    </w:rPr>
  </w:style>
  <w:style w:type="paragraph" w:styleId="Heading6">
    <w:name w:val="heading 6"/>
    <w:basedOn w:val="Normal"/>
    <w:next w:val="Normal"/>
    <w:link w:val="Heading6Char"/>
    <w:uiPriority w:val="9"/>
    <w:semiHidden/>
    <w:unhideWhenUsed/>
    <w:qFormat/>
    <w:rsid w:val="009E3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395"/>
    <w:rPr>
      <w:rFonts w:ascii="Tenorite" w:eastAsiaTheme="majorEastAsia" w:hAnsi="Tenorite" w:cstheme="majorBidi"/>
      <w:color w:val="1D2A50" w:themeColor="text2"/>
      <w:sz w:val="40"/>
      <w:szCs w:val="40"/>
    </w:rPr>
  </w:style>
  <w:style w:type="character" w:customStyle="1" w:styleId="Heading2Char">
    <w:name w:val="Heading 2 Char"/>
    <w:basedOn w:val="DefaultParagraphFont"/>
    <w:link w:val="Heading2"/>
    <w:uiPriority w:val="9"/>
    <w:rsid w:val="001B0395"/>
    <w:rPr>
      <w:rFonts w:ascii="Tenorite" w:eastAsiaTheme="majorEastAsia" w:hAnsi="Tenorite" w:cstheme="majorBidi"/>
      <w:b/>
      <w:color w:val="1D2A50" w:themeColor="text2"/>
      <w:sz w:val="28"/>
      <w:szCs w:val="32"/>
    </w:rPr>
  </w:style>
  <w:style w:type="character" w:customStyle="1" w:styleId="Heading3Char">
    <w:name w:val="Heading 3 Char"/>
    <w:basedOn w:val="DefaultParagraphFont"/>
    <w:link w:val="Heading3"/>
    <w:uiPriority w:val="9"/>
    <w:rsid w:val="001B0395"/>
    <w:rPr>
      <w:rFonts w:ascii="Tenorite" w:eastAsiaTheme="majorEastAsia" w:hAnsi="Tenorite" w:cstheme="majorBidi"/>
      <w:color w:val="6D0034" w:themeColor="accent1" w:themeShade="BF"/>
      <w:sz w:val="26"/>
      <w:szCs w:val="28"/>
    </w:rPr>
  </w:style>
  <w:style w:type="character" w:customStyle="1" w:styleId="Heading4Char">
    <w:name w:val="Heading 4 Char"/>
    <w:basedOn w:val="DefaultParagraphFont"/>
    <w:link w:val="Heading4"/>
    <w:uiPriority w:val="9"/>
    <w:semiHidden/>
    <w:rsid w:val="001B0395"/>
    <w:rPr>
      <w:rFonts w:ascii="Tenorite" w:eastAsiaTheme="majorEastAsia" w:hAnsi="Tenorite" w:cstheme="majorBidi"/>
      <w:b/>
      <w:iCs/>
      <w:color w:val="6D0034" w:themeColor="accent1" w:themeShade="BF"/>
    </w:rPr>
  </w:style>
  <w:style w:type="character" w:customStyle="1" w:styleId="Heading5Char">
    <w:name w:val="Heading 5 Char"/>
    <w:basedOn w:val="DefaultParagraphFont"/>
    <w:link w:val="Heading5"/>
    <w:uiPriority w:val="9"/>
    <w:semiHidden/>
    <w:rsid w:val="009E3DD4"/>
    <w:rPr>
      <w:rFonts w:eastAsiaTheme="majorEastAsia" w:cstheme="majorBidi"/>
      <w:color w:val="6D0034" w:themeColor="accent1" w:themeShade="BF"/>
    </w:rPr>
  </w:style>
  <w:style w:type="character" w:customStyle="1" w:styleId="Heading6Char">
    <w:name w:val="Heading 6 Char"/>
    <w:basedOn w:val="DefaultParagraphFont"/>
    <w:link w:val="Heading6"/>
    <w:uiPriority w:val="9"/>
    <w:semiHidden/>
    <w:rsid w:val="009E3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DD4"/>
    <w:rPr>
      <w:rFonts w:eastAsiaTheme="majorEastAsia" w:cstheme="majorBidi"/>
      <w:color w:val="272727" w:themeColor="text1" w:themeTint="D8"/>
    </w:rPr>
  </w:style>
  <w:style w:type="paragraph" w:styleId="Title">
    <w:name w:val="Title"/>
    <w:basedOn w:val="Normal"/>
    <w:next w:val="Normal"/>
    <w:link w:val="TitleChar"/>
    <w:uiPriority w:val="10"/>
    <w:qFormat/>
    <w:rsid w:val="001B0395"/>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B0395"/>
    <w:rPr>
      <w:rFonts w:ascii="Tenorite" w:eastAsiaTheme="majorEastAsia" w:hAnsi="Tenorite" w:cstheme="majorBidi"/>
      <w:color w:val="000000" w:themeColor="text1"/>
      <w:spacing w:val="-10"/>
      <w:kern w:val="28"/>
      <w:sz w:val="56"/>
      <w:szCs w:val="56"/>
    </w:rPr>
  </w:style>
  <w:style w:type="paragraph" w:styleId="Subtitle">
    <w:name w:val="Subtitle"/>
    <w:basedOn w:val="Normal"/>
    <w:next w:val="Normal"/>
    <w:link w:val="SubtitleChar"/>
    <w:uiPriority w:val="11"/>
    <w:qFormat/>
    <w:rsid w:val="009E3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DD4"/>
    <w:pPr>
      <w:spacing w:before="160"/>
      <w:jc w:val="center"/>
    </w:pPr>
    <w:rPr>
      <w:i/>
      <w:iCs/>
      <w:color w:val="404040" w:themeColor="text1" w:themeTint="BF"/>
    </w:rPr>
  </w:style>
  <w:style w:type="character" w:customStyle="1" w:styleId="QuoteChar">
    <w:name w:val="Quote Char"/>
    <w:basedOn w:val="DefaultParagraphFont"/>
    <w:link w:val="Quote"/>
    <w:uiPriority w:val="29"/>
    <w:rsid w:val="009E3DD4"/>
    <w:rPr>
      <w:i/>
      <w:iCs/>
      <w:color w:val="404040" w:themeColor="text1" w:themeTint="BF"/>
    </w:rPr>
  </w:style>
  <w:style w:type="paragraph" w:styleId="ListParagraph">
    <w:name w:val="List Paragraph"/>
    <w:basedOn w:val="Normal"/>
    <w:uiPriority w:val="34"/>
    <w:qFormat/>
    <w:rsid w:val="009E3DD4"/>
    <w:pPr>
      <w:ind w:left="720"/>
      <w:contextualSpacing/>
    </w:pPr>
  </w:style>
  <w:style w:type="character" w:styleId="IntenseEmphasis">
    <w:name w:val="Intense Emphasis"/>
    <w:basedOn w:val="DefaultParagraphFont"/>
    <w:uiPriority w:val="21"/>
    <w:qFormat/>
    <w:rsid w:val="009E3DD4"/>
    <w:rPr>
      <w:i/>
      <w:iCs/>
      <w:color w:val="6D0034" w:themeColor="accent1" w:themeShade="BF"/>
    </w:rPr>
  </w:style>
  <w:style w:type="paragraph" w:styleId="IntenseQuote">
    <w:name w:val="Intense Quote"/>
    <w:basedOn w:val="Normal"/>
    <w:next w:val="Normal"/>
    <w:link w:val="IntenseQuoteChar"/>
    <w:uiPriority w:val="30"/>
    <w:qFormat/>
    <w:rsid w:val="009E3DD4"/>
    <w:pPr>
      <w:pBdr>
        <w:top w:val="single" w:sz="4" w:space="10" w:color="6D0034" w:themeColor="accent1" w:themeShade="BF"/>
        <w:bottom w:val="single" w:sz="4" w:space="10" w:color="6D0034" w:themeColor="accent1" w:themeShade="BF"/>
      </w:pBdr>
      <w:spacing w:before="360" w:after="360"/>
      <w:ind w:left="864" w:right="864"/>
      <w:jc w:val="center"/>
    </w:pPr>
    <w:rPr>
      <w:i/>
      <w:iCs/>
      <w:color w:val="6D0034" w:themeColor="accent1" w:themeShade="BF"/>
    </w:rPr>
  </w:style>
  <w:style w:type="character" w:customStyle="1" w:styleId="IntenseQuoteChar">
    <w:name w:val="Intense Quote Char"/>
    <w:basedOn w:val="DefaultParagraphFont"/>
    <w:link w:val="IntenseQuote"/>
    <w:uiPriority w:val="30"/>
    <w:rsid w:val="009E3DD4"/>
    <w:rPr>
      <w:i/>
      <w:iCs/>
      <w:color w:val="6D0034" w:themeColor="accent1" w:themeShade="BF"/>
    </w:rPr>
  </w:style>
  <w:style w:type="character" w:styleId="IntenseReference">
    <w:name w:val="Intense Reference"/>
    <w:basedOn w:val="DefaultParagraphFont"/>
    <w:uiPriority w:val="32"/>
    <w:qFormat/>
    <w:rsid w:val="009E3DD4"/>
    <w:rPr>
      <w:b/>
      <w:bCs/>
      <w:smallCaps/>
      <w:color w:val="6D0034" w:themeColor="accent1" w:themeShade="BF"/>
      <w:spacing w:val="5"/>
    </w:rPr>
  </w:style>
  <w:style w:type="paragraph" w:styleId="Header">
    <w:name w:val="header"/>
    <w:basedOn w:val="Normal"/>
    <w:link w:val="HeaderChar"/>
    <w:uiPriority w:val="99"/>
    <w:unhideWhenUsed/>
    <w:rsid w:val="001B0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395"/>
  </w:style>
  <w:style w:type="paragraph" w:styleId="Footer">
    <w:name w:val="footer"/>
    <w:basedOn w:val="Normal"/>
    <w:link w:val="FooterChar"/>
    <w:uiPriority w:val="99"/>
    <w:unhideWhenUsed/>
    <w:rsid w:val="001B0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395"/>
  </w:style>
  <w:style w:type="character" w:styleId="Strong">
    <w:name w:val="Strong"/>
    <w:basedOn w:val="DefaultParagraphFont"/>
    <w:uiPriority w:val="22"/>
    <w:qFormat/>
    <w:rsid w:val="001B0395"/>
    <w:rPr>
      <w:rFonts w:ascii="Tenorite" w:hAnsi="Tenorite"/>
      <w:b/>
      <w:bCs/>
    </w:rPr>
  </w:style>
  <w:style w:type="character" w:styleId="CommentReference">
    <w:name w:val="annotation reference"/>
    <w:basedOn w:val="DefaultParagraphFont"/>
    <w:uiPriority w:val="99"/>
    <w:semiHidden/>
    <w:unhideWhenUsed/>
    <w:rsid w:val="00427F34"/>
    <w:rPr>
      <w:sz w:val="16"/>
      <w:szCs w:val="16"/>
    </w:rPr>
  </w:style>
  <w:style w:type="paragraph" w:styleId="CommentText">
    <w:name w:val="annotation text"/>
    <w:basedOn w:val="Normal"/>
    <w:link w:val="CommentTextChar"/>
    <w:uiPriority w:val="99"/>
    <w:unhideWhenUsed/>
    <w:rsid w:val="00427F34"/>
    <w:pPr>
      <w:spacing w:line="240" w:lineRule="auto"/>
    </w:pPr>
    <w:rPr>
      <w:sz w:val="20"/>
      <w:szCs w:val="20"/>
    </w:rPr>
  </w:style>
  <w:style w:type="character" w:customStyle="1" w:styleId="CommentTextChar">
    <w:name w:val="Comment Text Char"/>
    <w:basedOn w:val="DefaultParagraphFont"/>
    <w:link w:val="CommentText"/>
    <w:uiPriority w:val="99"/>
    <w:rsid w:val="00427F34"/>
    <w:rPr>
      <w:rFonts w:ascii="DM Sans" w:hAnsi="DM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27F34"/>
    <w:rPr>
      <w:b/>
      <w:bCs/>
    </w:rPr>
  </w:style>
  <w:style w:type="character" w:customStyle="1" w:styleId="CommentSubjectChar">
    <w:name w:val="Comment Subject Char"/>
    <w:basedOn w:val="CommentTextChar"/>
    <w:link w:val="CommentSubject"/>
    <w:uiPriority w:val="99"/>
    <w:semiHidden/>
    <w:rsid w:val="00427F34"/>
    <w:rPr>
      <w:rFonts w:ascii="DM Sans" w:hAnsi="DM Sans"/>
      <w:b/>
      <w:bCs/>
      <w:color w:val="000000" w:themeColor="text1"/>
      <w:sz w:val="20"/>
      <w:szCs w:val="20"/>
    </w:rPr>
  </w:style>
  <w:style w:type="paragraph" w:styleId="NormalWeb">
    <w:name w:val="Normal (Web)"/>
    <w:basedOn w:val="Normal"/>
    <w:uiPriority w:val="99"/>
    <w:semiHidden/>
    <w:unhideWhenUsed/>
    <w:rsid w:val="003F7C57"/>
    <w:rPr>
      <w:rFonts w:ascii="Times New Roman" w:hAnsi="Times New Roman" w:cs="Times New Roman"/>
      <w:sz w:val="24"/>
    </w:rPr>
  </w:style>
  <w:style w:type="character" w:styleId="Hyperlink">
    <w:name w:val="Hyperlink"/>
    <w:basedOn w:val="DefaultParagraphFont"/>
    <w:uiPriority w:val="99"/>
    <w:unhideWhenUsed/>
    <w:rsid w:val="002C0D1C"/>
    <w:rPr>
      <w:color w:val="46589E" w:themeColor="hyperlink"/>
      <w:u w:val="single"/>
    </w:rPr>
  </w:style>
  <w:style w:type="character" w:styleId="UnresolvedMention">
    <w:name w:val="Unresolved Mention"/>
    <w:basedOn w:val="DefaultParagraphFont"/>
    <w:uiPriority w:val="99"/>
    <w:semiHidden/>
    <w:unhideWhenUsed/>
    <w:rsid w:val="002C0D1C"/>
    <w:rPr>
      <w:color w:val="605E5C"/>
      <w:shd w:val="clear" w:color="auto" w:fill="E1DFDD"/>
    </w:rPr>
  </w:style>
  <w:style w:type="table" w:styleId="TableGrid">
    <w:name w:val="Table Grid"/>
    <w:basedOn w:val="TableNormal"/>
    <w:rsid w:val="00BD5344"/>
    <w:pPr>
      <w:spacing w:after="0" w:line="240" w:lineRule="auto"/>
    </w:pPr>
    <w:rPr>
      <w:rFonts w:ascii="Arial" w:eastAsia="Times New Roman" w:hAnsi="Arial" w:cs="Arial"/>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D53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5344"/>
    <w:rPr>
      <w:rFonts w:ascii="DM Sans" w:hAnsi="DM Sans"/>
      <w:color w:val="000000" w:themeColor="text1"/>
      <w:sz w:val="20"/>
      <w:szCs w:val="20"/>
    </w:rPr>
  </w:style>
  <w:style w:type="character" w:styleId="FootnoteReference">
    <w:name w:val="footnote reference"/>
    <w:basedOn w:val="DefaultParagraphFont"/>
    <w:uiPriority w:val="99"/>
    <w:semiHidden/>
    <w:unhideWhenUsed/>
    <w:rsid w:val="00BD5344"/>
    <w:rPr>
      <w:vertAlign w:val="superscript"/>
    </w:rPr>
  </w:style>
  <w:style w:type="paragraph" w:styleId="Revision">
    <w:name w:val="Revision"/>
    <w:hidden/>
    <w:uiPriority w:val="99"/>
    <w:semiHidden/>
    <w:rsid w:val="00E318AE"/>
    <w:pPr>
      <w:spacing w:after="0" w:line="240" w:lineRule="auto"/>
    </w:pPr>
    <w:rPr>
      <w:rFonts w:ascii="DM Sans" w:hAnsi="DM Sans"/>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99830">
      <w:bodyDiv w:val="1"/>
      <w:marLeft w:val="0"/>
      <w:marRight w:val="0"/>
      <w:marTop w:val="0"/>
      <w:marBottom w:val="0"/>
      <w:divBdr>
        <w:top w:val="none" w:sz="0" w:space="0" w:color="auto"/>
        <w:left w:val="none" w:sz="0" w:space="0" w:color="auto"/>
        <w:bottom w:val="none" w:sz="0" w:space="0" w:color="auto"/>
        <w:right w:val="none" w:sz="0" w:space="0" w:color="auto"/>
      </w:divBdr>
    </w:div>
    <w:div w:id="171460171">
      <w:bodyDiv w:val="1"/>
      <w:marLeft w:val="0"/>
      <w:marRight w:val="0"/>
      <w:marTop w:val="0"/>
      <w:marBottom w:val="0"/>
      <w:divBdr>
        <w:top w:val="none" w:sz="0" w:space="0" w:color="auto"/>
        <w:left w:val="none" w:sz="0" w:space="0" w:color="auto"/>
        <w:bottom w:val="none" w:sz="0" w:space="0" w:color="auto"/>
        <w:right w:val="none" w:sz="0" w:space="0" w:color="auto"/>
      </w:divBdr>
    </w:div>
    <w:div w:id="252904553">
      <w:bodyDiv w:val="1"/>
      <w:marLeft w:val="0"/>
      <w:marRight w:val="0"/>
      <w:marTop w:val="0"/>
      <w:marBottom w:val="0"/>
      <w:divBdr>
        <w:top w:val="none" w:sz="0" w:space="0" w:color="auto"/>
        <w:left w:val="none" w:sz="0" w:space="0" w:color="auto"/>
        <w:bottom w:val="none" w:sz="0" w:space="0" w:color="auto"/>
        <w:right w:val="none" w:sz="0" w:space="0" w:color="auto"/>
      </w:divBdr>
    </w:div>
    <w:div w:id="392779798">
      <w:bodyDiv w:val="1"/>
      <w:marLeft w:val="0"/>
      <w:marRight w:val="0"/>
      <w:marTop w:val="0"/>
      <w:marBottom w:val="0"/>
      <w:divBdr>
        <w:top w:val="none" w:sz="0" w:space="0" w:color="auto"/>
        <w:left w:val="none" w:sz="0" w:space="0" w:color="auto"/>
        <w:bottom w:val="none" w:sz="0" w:space="0" w:color="auto"/>
        <w:right w:val="none" w:sz="0" w:space="0" w:color="auto"/>
      </w:divBdr>
    </w:div>
    <w:div w:id="489835739">
      <w:bodyDiv w:val="1"/>
      <w:marLeft w:val="0"/>
      <w:marRight w:val="0"/>
      <w:marTop w:val="0"/>
      <w:marBottom w:val="0"/>
      <w:divBdr>
        <w:top w:val="none" w:sz="0" w:space="0" w:color="auto"/>
        <w:left w:val="none" w:sz="0" w:space="0" w:color="auto"/>
        <w:bottom w:val="none" w:sz="0" w:space="0" w:color="auto"/>
        <w:right w:val="none" w:sz="0" w:space="0" w:color="auto"/>
      </w:divBdr>
    </w:div>
    <w:div w:id="733511171">
      <w:bodyDiv w:val="1"/>
      <w:marLeft w:val="0"/>
      <w:marRight w:val="0"/>
      <w:marTop w:val="0"/>
      <w:marBottom w:val="0"/>
      <w:divBdr>
        <w:top w:val="none" w:sz="0" w:space="0" w:color="auto"/>
        <w:left w:val="none" w:sz="0" w:space="0" w:color="auto"/>
        <w:bottom w:val="none" w:sz="0" w:space="0" w:color="auto"/>
        <w:right w:val="none" w:sz="0" w:space="0" w:color="auto"/>
      </w:divBdr>
    </w:div>
    <w:div w:id="839586181">
      <w:bodyDiv w:val="1"/>
      <w:marLeft w:val="0"/>
      <w:marRight w:val="0"/>
      <w:marTop w:val="0"/>
      <w:marBottom w:val="0"/>
      <w:divBdr>
        <w:top w:val="none" w:sz="0" w:space="0" w:color="auto"/>
        <w:left w:val="none" w:sz="0" w:space="0" w:color="auto"/>
        <w:bottom w:val="none" w:sz="0" w:space="0" w:color="auto"/>
        <w:right w:val="none" w:sz="0" w:space="0" w:color="auto"/>
      </w:divBdr>
    </w:div>
    <w:div w:id="876238589">
      <w:bodyDiv w:val="1"/>
      <w:marLeft w:val="0"/>
      <w:marRight w:val="0"/>
      <w:marTop w:val="0"/>
      <w:marBottom w:val="0"/>
      <w:divBdr>
        <w:top w:val="none" w:sz="0" w:space="0" w:color="auto"/>
        <w:left w:val="none" w:sz="0" w:space="0" w:color="auto"/>
        <w:bottom w:val="none" w:sz="0" w:space="0" w:color="auto"/>
        <w:right w:val="none" w:sz="0" w:space="0" w:color="auto"/>
      </w:divBdr>
    </w:div>
    <w:div w:id="1132405312">
      <w:bodyDiv w:val="1"/>
      <w:marLeft w:val="0"/>
      <w:marRight w:val="0"/>
      <w:marTop w:val="0"/>
      <w:marBottom w:val="0"/>
      <w:divBdr>
        <w:top w:val="none" w:sz="0" w:space="0" w:color="auto"/>
        <w:left w:val="none" w:sz="0" w:space="0" w:color="auto"/>
        <w:bottom w:val="none" w:sz="0" w:space="0" w:color="auto"/>
        <w:right w:val="none" w:sz="0" w:space="0" w:color="auto"/>
      </w:divBdr>
    </w:div>
    <w:div w:id="1266232908">
      <w:bodyDiv w:val="1"/>
      <w:marLeft w:val="0"/>
      <w:marRight w:val="0"/>
      <w:marTop w:val="0"/>
      <w:marBottom w:val="0"/>
      <w:divBdr>
        <w:top w:val="none" w:sz="0" w:space="0" w:color="auto"/>
        <w:left w:val="none" w:sz="0" w:space="0" w:color="auto"/>
        <w:bottom w:val="none" w:sz="0" w:space="0" w:color="auto"/>
        <w:right w:val="none" w:sz="0" w:space="0" w:color="auto"/>
      </w:divBdr>
    </w:div>
    <w:div w:id="1455517430">
      <w:bodyDiv w:val="1"/>
      <w:marLeft w:val="0"/>
      <w:marRight w:val="0"/>
      <w:marTop w:val="0"/>
      <w:marBottom w:val="0"/>
      <w:divBdr>
        <w:top w:val="none" w:sz="0" w:space="0" w:color="auto"/>
        <w:left w:val="none" w:sz="0" w:space="0" w:color="auto"/>
        <w:bottom w:val="none" w:sz="0" w:space="0" w:color="auto"/>
        <w:right w:val="none" w:sz="0" w:space="0" w:color="auto"/>
      </w:divBdr>
    </w:div>
    <w:div w:id="1532690477">
      <w:bodyDiv w:val="1"/>
      <w:marLeft w:val="0"/>
      <w:marRight w:val="0"/>
      <w:marTop w:val="0"/>
      <w:marBottom w:val="0"/>
      <w:divBdr>
        <w:top w:val="none" w:sz="0" w:space="0" w:color="auto"/>
        <w:left w:val="none" w:sz="0" w:space="0" w:color="auto"/>
        <w:bottom w:val="none" w:sz="0" w:space="0" w:color="auto"/>
        <w:right w:val="none" w:sz="0" w:space="0" w:color="auto"/>
      </w:divBdr>
    </w:div>
    <w:div w:id="1669821679">
      <w:bodyDiv w:val="1"/>
      <w:marLeft w:val="0"/>
      <w:marRight w:val="0"/>
      <w:marTop w:val="0"/>
      <w:marBottom w:val="0"/>
      <w:divBdr>
        <w:top w:val="none" w:sz="0" w:space="0" w:color="auto"/>
        <w:left w:val="none" w:sz="0" w:space="0" w:color="auto"/>
        <w:bottom w:val="none" w:sz="0" w:space="0" w:color="auto"/>
        <w:right w:val="none" w:sz="0" w:space="0" w:color="auto"/>
      </w:divBdr>
    </w:div>
    <w:div w:id="2023505991">
      <w:bodyDiv w:val="1"/>
      <w:marLeft w:val="0"/>
      <w:marRight w:val="0"/>
      <w:marTop w:val="0"/>
      <w:marBottom w:val="0"/>
      <w:divBdr>
        <w:top w:val="none" w:sz="0" w:space="0" w:color="auto"/>
        <w:left w:val="none" w:sz="0" w:space="0" w:color="auto"/>
        <w:bottom w:val="none" w:sz="0" w:space="0" w:color="auto"/>
        <w:right w:val="none" w:sz="0" w:space="0" w:color="auto"/>
      </w:divBdr>
    </w:div>
    <w:div w:id="207600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sabilityrightsuk.org/resources/service-user-involvement-and-payments-how-they-affect-benefits" TargetMode="External"/><Relationship Id="rId18" Type="http://schemas.openxmlformats.org/officeDocument/2006/relationships/hyperlink" Target="https://eur02.safelinks.protection.outlook.com/?url=https%3A%2F%2Fwww.gov.uk%2Freport-benefits-change-circumstances&amp;data=05%7C02%7Channah.self%40essex.gov.uk%7Cacf2371809eb4db4200c08de1ba47f9d%7Ca8b4324f155c4215a0f17ed8cc9a992f%7C0%7C0%7C638978590564522800%7CUnknown%7CTWFpbGZsb3d8eyJFbXB0eU1hcGkiOnRydWUsIlYiOiIwLjAuMDAwMCIsIlAiOiJXaW4zMiIsIkFOIjoiTWFpbCIsIldUIjoyfQ%3D%3D%7C0%7C%7C%7C&amp;sdata=5eXCHBCyqd9Z4tNRkgdYUT7N9gFtiIagpRX3vePrG9o%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ploads-ssl.webflow.com/5ffee76a01a63b6b7213780c/63568ea8a8a8c84cb37c3ee6_CoProCo_BenefitsInfoSheet.docx" TargetMode="External"/><Relationship Id="rId17" Type="http://schemas.openxmlformats.org/officeDocument/2006/relationships/hyperlink" Target="DWP%20guidance%20for%20staff%20who%20make%20decisions%20about%20benefits" TargetMode="External"/><Relationship Id="rId2" Type="http://schemas.openxmlformats.org/officeDocument/2006/relationships/customXml" Target="../customXml/item2.xml"/><Relationship Id="rId16" Type="http://schemas.openxmlformats.org/officeDocument/2006/relationships/hyperlink" Target="https://www.scie.org.uk/co-production/supporting/paying-people-who-receive-benefi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ploads-ssl.webflow.com/5ffee76a01a63b6b7213780c/6356d06492961724527f0186_CoProCo_PaymentBenefitsInfoSheet.pdf" TargetMode="External"/><Relationship Id="rId5" Type="http://schemas.openxmlformats.org/officeDocument/2006/relationships/numbering" Target="numbering.xml"/><Relationship Id="rId15" Type="http://schemas.openxmlformats.org/officeDocument/2006/relationships/hyperlink" Target="https://www.citizensadvice.org.uk/benefit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hr.ac.uk/about-us/who-we-are/policies-and-guidelines/payment-guidance-researchers-and-professional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otte.Newman\OneDrive%20-%20LGA\Documents\Custom%20Office%20Templates\ADASS%20Word%20Template.dotx" TargetMode="External"/></Relationships>
</file>

<file path=word/theme/theme1.xml><?xml version="1.0" encoding="utf-8"?>
<a:theme xmlns:a="http://schemas.openxmlformats.org/drawingml/2006/main" name="Adass MS theme">
  <a:themeElements>
    <a:clrScheme name="Adass">
      <a:dk1>
        <a:srgbClr val="000000"/>
      </a:dk1>
      <a:lt1>
        <a:srgbClr val="FFFFFF"/>
      </a:lt1>
      <a:dk2>
        <a:srgbClr val="1D2A50"/>
      </a:dk2>
      <a:lt2>
        <a:srgbClr val="E8E8E8"/>
      </a:lt2>
      <a:accent1>
        <a:srgbClr val="920146"/>
      </a:accent1>
      <a:accent2>
        <a:srgbClr val="E97132"/>
      </a:accent2>
      <a:accent3>
        <a:srgbClr val="1D95CB"/>
      </a:accent3>
      <a:accent4>
        <a:srgbClr val="029C92"/>
      </a:accent4>
      <a:accent5>
        <a:srgbClr val="C3D350"/>
      </a:accent5>
      <a:accent6>
        <a:srgbClr val="F9C80E"/>
      </a:accent6>
      <a:hlink>
        <a:srgbClr val="46589E"/>
      </a:hlink>
      <a:folHlink>
        <a:srgbClr val="85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7CF961C21F6E49AD55B0C5697E6B98" ma:contentTypeVersion="23" ma:contentTypeDescription="Create a new document." ma:contentTypeScope="" ma:versionID="1d583e5970663d43fa870c0f28b8cb5f">
  <xsd:schema xmlns:xsd="http://www.w3.org/2001/XMLSchema" xmlns:xs="http://www.w3.org/2001/XMLSchema" xmlns:p="http://schemas.microsoft.com/office/2006/metadata/properties" xmlns:ns2="ce1c08fc-9c13-4505-a2d6-506b803ea195" xmlns:ns3="ef78dcbe-32e2-4dfb-a0f7-d878a243a70d" targetNamespace="http://schemas.microsoft.com/office/2006/metadata/properties" ma:root="true" ma:fieldsID="542ea4e25830cc68a5f84a304567cd8a" ns2:_="" ns3:_="">
    <xsd:import namespace="ce1c08fc-9c13-4505-a2d6-506b803ea195"/>
    <xsd:import namespace="ef78dcbe-32e2-4dfb-a0f7-d878a243a7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_Flow_SignoffStatus" minOccurs="0"/>
                <xsd:element ref="ns2:MediaServiceLocation" minOccurs="0"/>
                <xsd:element ref="ns2:Session_x0023_" minOccurs="0"/>
                <xsd:element ref="ns2:MediaLengthInSeconds" minOccurs="0"/>
                <xsd:element ref="ns2:lcf76f155ced4ddcb4097134ff3c332f" minOccurs="0"/>
                <xsd:element ref="ns3:TaxCatchAll" minOccurs="0"/>
                <xsd:element ref="ns2:MediaServiceObjectDetectorVersions" minOccurs="0"/>
                <xsd:element ref="ns2:PostedSag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c08fc-9c13-4505-a2d6-506b803ea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ession_x0023_" ma:index="21" nillable="true" ma:displayName="Session #" ma:format="Dropdown" ma:internalName="Session_x0023_" ma:percentage="FALSE">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PostedSage" ma:index="27" nillable="true" ma:displayName="Posted Sage" ma:format="DateOnly" ma:internalName="PostedSag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8dcbe-32e2-4dfb-a0f7-d878a243a7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260e3db-a7cd-4182-8dfe-aa3209697994}" ma:internalName="TaxCatchAll" ma:showField="CatchAllData" ma:web="ef78dcbe-32e2-4dfb-a0f7-d878a243a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1c08fc-9c13-4505-a2d6-506b803ea195">
      <Terms xmlns="http://schemas.microsoft.com/office/infopath/2007/PartnerControls"/>
    </lcf76f155ced4ddcb4097134ff3c332f>
    <TaxCatchAll xmlns="ef78dcbe-32e2-4dfb-a0f7-d878a243a70d" xsi:nil="true"/>
    <_Flow_SignoffStatus xmlns="ce1c08fc-9c13-4505-a2d6-506b803ea195" xsi:nil="true"/>
    <PostedSage xmlns="ce1c08fc-9c13-4505-a2d6-506b803ea195" xsi:nil="true"/>
    <Session_x0023_ xmlns="ce1c08fc-9c13-4505-a2d6-506b803ea1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A6F5A5-5B19-4774-9809-9F65BD93EFDD}">
  <ds:schemaRefs>
    <ds:schemaRef ds:uri="http://schemas.openxmlformats.org/officeDocument/2006/bibliography"/>
  </ds:schemaRefs>
</ds:datastoreItem>
</file>

<file path=customXml/itemProps2.xml><?xml version="1.0" encoding="utf-8"?>
<ds:datastoreItem xmlns:ds="http://schemas.openxmlformats.org/officeDocument/2006/customXml" ds:itemID="{A289A9CB-F9C5-45D0-9497-56C2056B2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c08fc-9c13-4505-a2d6-506b803ea195"/>
    <ds:schemaRef ds:uri="ef78dcbe-32e2-4dfb-a0f7-d878a243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38CDC3-C0D0-41C1-A0E2-525E21DEA4F4}">
  <ds:schemaRefs>
    <ds:schemaRef ds:uri="http://schemas.microsoft.com/office/2006/metadata/properties"/>
    <ds:schemaRef ds:uri="http://schemas.microsoft.com/office/infopath/2007/PartnerControls"/>
    <ds:schemaRef ds:uri="ce1c08fc-9c13-4505-a2d6-506b803ea195"/>
    <ds:schemaRef ds:uri="ef78dcbe-32e2-4dfb-a0f7-d878a243a70d"/>
  </ds:schemaRefs>
</ds:datastoreItem>
</file>

<file path=customXml/itemProps4.xml><?xml version="1.0" encoding="utf-8"?>
<ds:datastoreItem xmlns:ds="http://schemas.openxmlformats.org/officeDocument/2006/customXml" ds:itemID="{AFF7AAB8-D2EE-43DD-B8B5-0BA0C9DF87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ADASS Word Template</Template>
  <TotalTime>83</TotalTime>
  <Pages>6</Pages>
  <Words>1795</Words>
  <Characters>10235</Characters>
  <Application>Microsoft Office Word</Application>
  <DocSecurity>0</DocSecurity>
  <Lines>85</Lines>
  <Paragraphs>24</Paragraphs>
  <ScaleCrop>false</ScaleCrop>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Newman</dc:creator>
  <cp:keywords/>
  <dc:description/>
  <cp:lastModifiedBy>Charlotte Newman</cp:lastModifiedBy>
  <cp:revision>45</cp:revision>
  <dcterms:created xsi:type="dcterms:W3CDTF">2025-12-12T15:56:00Z</dcterms:created>
  <dcterms:modified xsi:type="dcterms:W3CDTF">2026-06-08T08:41:00Z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0x010100697CF961C21F6E49AD55B0C5697E6B98</vt:lpwstr>
  </property>
  <property fmtid="{D5CDD505-2E9C-101B-9397-08002B2CF9AE}" pid="3" name="MediaServiceImageTags">
    <vt:lpwstr/>
  </property>
</Properties>
</file>