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6F1" w14:textId="77777777" w:rsidR="009E3DD4" w:rsidRDefault="009E3DD4"/>
    <w:p w14:paraId="0F63CC67" w14:textId="741DD808" w:rsidR="001B0395" w:rsidRDefault="007B3F2A" w:rsidP="001B0395">
      <w:pPr>
        <w:pStyle w:val="Heading1"/>
      </w:pPr>
      <w:r>
        <w:t xml:space="preserve">ADASS </w:t>
      </w:r>
      <w:r w:rsidR="001262E1">
        <w:t>policy statement</w:t>
      </w:r>
      <w:r>
        <w:t>: Preparing for Adulthood</w:t>
      </w:r>
    </w:p>
    <w:p w14:paraId="0F212E05" w14:textId="63FFE7B6" w:rsidR="007B3F2A" w:rsidRPr="007B3F2A" w:rsidRDefault="007B3F2A" w:rsidP="007B3F2A">
      <w:pPr>
        <w:pStyle w:val="Heading3"/>
      </w:pPr>
      <w:r>
        <w:t>10 October 20</w:t>
      </w:r>
      <w:r w:rsidR="00862BFB">
        <w:t>2</w:t>
      </w:r>
      <w:r>
        <w:t>5                                                                Review date: April 2026</w:t>
      </w:r>
    </w:p>
    <w:p w14:paraId="02A53E86" w14:textId="5A81D1AA" w:rsidR="001B0395" w:rsidRDefault="007B3F2A" w:rsidP="001262E1">
      <w:pPr>
        <w:pStyle w:val="Heading3"/>
      </w:pPr>
      <w:r>
        <w:t>Purpose</w:t>
      </w:r>
    </w:p>
    <w:p w14:paraId="7DB60999" w14:textId="36858E61" w:rsidR="007B3F2A" w:rsidRPr="007B3F2A" w:rsidRDefault="007B3F2A" w:rsidP="007B3F2A">
      <w:r w:rsidRPr="007B3F2A">
        <w:t>This paper is intended to confirm the policy position ADASS takes around Preparation for Adulthood (</w:t>
      </w:r>
      <w:proofErr w:type="spellStart"/>
      <w:r w:rsidRPr="007B3F2A">
        <w:t>PfA</w:t>
      </w:r>
      <w:proofErr w:type="spellEnd"/>
      <w:r w:rsidRPr="007B3F2A">
        <w:t>), which can then be used to inform sector led improvement, reform and development of regulation, and to drive specific policy and practice for this area.</w:t>
      </w:r>
    </w:p>
    <w:p w14:paraId="185C4983" w14:textId="3EF27BEF" w:rsidR="001B0395" w:rsidRDefault="007B3F2A" w:rsidP="001B0395">
      <w:pPr>
        <w:pStyle w:val="Heading3"/>
      </w:pPr>
      <w:r>
        <w:t>Key policy lines</w:t>
      </w:r>
    </w:p>
    <w:p w14:paraId="10F6279B" w14:textId="11798891" w:rsidR="001262E1" w:rsidRPr="001262E1" w:rsidRDefault="001262E1" w:rsidP="001262E1">
      <w:r w:rsidRPr="001262E1">
        <w:rPr>
          <w:b/>
          <w:bCs/>
        </w:rPr>
        <w:t>Align</w:t>
      </w:r>
      <w:r>
        <w:rPr>
          <w:b/>
          <w:bCs/>
        </w:rPr>
        <w:t>ing and updating guidance</w:t>
      </w:r>
      <w:r w:rsidRPr="001262E1">
        <w:rPr>
          <w:b/>
          <w:bCs/>
        </w:rPr>
        <w:t>:</w:t>
      </w:r>
      <w:r w:rsidRPr="001262E1">
        <w:t xml:space="preserve"> A Cross-Government approach to align statutory guidance and policy across DHSC, DFEE and MHCLG is essential.</w:t>
      </w:r>
      <w:r>
        <w:t xml:space="preserve"> </w:t>
      </w:r>
      <w:r w:rsidRPr="001262E1">
        <w:t>The Care Act Statutory Guidance needs to be updated to ensure it supports identification and early work with those in the 14–25 age group who are at risk of not making successful progression to adulthood.</w:t>
      </w:r>
    </w:p>
    <w:p w14:paraId="4E5A2DD7" w14:textId="76866866" w:rsidR="001262E1" w:rsidRPr="001262E1" w:rsidRDefault="001262E1" w:rsidP="001262E1">
      <w:r w:rsidRPr="001262E1">
        <w:rPr>
          <w:b/>
          <w:bCs/>
        </w:rPr>
        <w:t>Early Help:</w:t>
      </w:r>
      <w:r w:rsidRPr="001262E1">
        <w:t xml:space="preserve"> A specific, funded early help offer</w:t>
      </w:r>
      <w:r>
        <w:t xml:space="preserve"> </w:t>
      </w:r>
      <w:r w:rsidRPr="001262E1">
        <w:t>that prioritises transitional safeguarding and preparation for adulthood approaches is needed.</w:t>
      </w:r>
    </w:p>
    <w:p w14:paraId="551FA2F7" w14:textId="659716EB" w:rsidR="001262E1" w:rsidRPr="001262E1" w:rsidRDefault="001262E1" w:rsidP="001262E1">
      <w:r w:rsidRPr="001262E1">
        <w:rPr>
          <w:b/>
          <w:bCs/>
        </w:rPr>
        <w:t>Transition Age:</w:t>
      </w:r>
      <w:r w:rsidRPr="001262E1">
        <w:t xml:space="preserve"> The Government and sector leaders should work to a maximum age of transition to adult social care, to promote progression at the point that is best for the individual.</w:t>
      </w:r>
    </w:p>
    <w:p w14:paraId="53F09CFF" w14:textId="6BEC826F" w:rsidR="001262E1" w:rsidRDefault="7AF31EB0" w:rsidP="001262E1">
      <w:r w:rsidRPr="11699962">
        <w:rPr>
          <w:b/>
          <w:bCs/>
        </w:rPr>
        <w:t>Regulation:</w:t>
      </w:r>
      <w:r>
        <w:t xml:space="preserve"> The Government should </w:t>
      </w:r>
      <w:r w:rsidR="6A7AE33A">
        <w:t xml:space="preserve">examine regulation in the round, understand where difference of </w:t>
      </w:r>
      <w:r w:rsidR="3DE4AD1A">
        <w:t>approach</w:t>
      </w:r>
      <w:r w:rsidR="6A7AE33A">
        <w:t xml:space="preserve"> </w:t>
      </w:r>
      <w:r w:rsidR="3EA4D28F">
        <w:t>is</w:t>
      </w:r>
      <w:r w:rsidR="6A7AE33A">
        <w:t xml:space="preserve"> hampering best practice, </w:t>
      </w:r>
      <w:r w:rsidR="77B018E3">
        <w:t xml:space="preserve">and </w:t>
      </w:r>
      <w:r>
        <w:t xml:space="preserve">develop regulation </w:t>
      </w:r>
      <w:r w:rsidR="24C07E89">
        <w:t xml:space="preserve">which acts </w:t>
      </w:r>
      <w:r>
        <w:t xml:space="preserve">as a lever </w:t>
      </w:r>
      <w:r w:rsidR="64EA9078">
        <w:t>for</w:t>
      </w:r>
      <w:r>
        <w:t xml:space="preserve"> improvement (CQC &amp; Ofsted assessment).</w:t>
      </w:r>
    </w:p>
    <w:p w14:paraId="740D9039" w14:textId="48055426" w:rsidR="001262E1" w:rsidRPr="001262E1" w:rsidRDefault="001262E1" w:rsidP="001262E1">
      <w:r w:rsidRPr="001262E1">
        <w:rPr>
          <w:b/>
          <w:bCs/>
        </w:rPr>
        <w:t>Leadership:</w:t>
      </w:r>
      <w:r w:rsidRPr="001262E1">
        <w:t xml:space="preserve"> Government and regulators should increase the expectation/profile of DASS</w:t>
      </w:r>
      <w:r>
        <w:t>’</w:t>
      </w:r>
      <w:r w:rsidRPr="001262E1">
        <w:t xml:space="preserve"> and DCS</w:t>
      </w:r>
      <w:r>
        <w:t>’</w:t>
      </w:r>
      <w:r w:rsidRPr="001262E1">
        <w:t xml:space="preserve"> to provide system leadership in the preparation for adulthood space.</w:t>
      </w:r>
    </w:p>
    <w:p w14:paraId="4762C794" w14:textId="6407EE5F" w:rsidR="001262E1" w:rsidRPr="001262E1" w:rsidRDefault="001262E1" w:rsidP="001262E1">
      <w:r w:rsidRPr="001262E1">
        <w:rPr>
          <w:b/>
          <w:bCs/>
        </w:rPr>
        <w:t>Statutory Duty:</w:t>
      </w:r>
      <w:r w:rsidRPr="001262E1">
        <w:t xml:space="preserve"> There should be a statutory duty for DASS</w:t>
      </w:r>
      <w:r>
        <w:t>’</w:t>
      </w:r>
      <w:r w:rsidRPr="001262E1">
        <w:t xml:space="preserve"> and DCS</w:t>
      </w:r>
      <w:r>
        <w:t>’</w:t>
      </w:r>
      <w:r w:rsidRPr="001262E1">
        <w:t xml:space="preserve"> to identify those aged over 14 with possible eligible adult social care need.</w:t>
      </w:r>
    </w:p>
    <w:p w14:paraId="338F4FC2" w14:textId="008182C1" w:rsidR="001262E1" w:rsidRPr="001262E1" w:rsidRDefault="001262E1" w:rsidP="001262E1">
      <w:r w:rsidRPr="01D072D9">
        <w:rPr>
          <w:b/>
          <w:bCs/>
        </w:rPr>
        <w:t xml:space="preserve">Collaborating with </w:t>
      </w:r>
      <w:r w:rsidR="2B577CBE" w:rsidRPr="01D072D9">
        <w:rPr>
          <w:b/>
          <w:bCs/>
        </w:rPr>
        <w:t>NHS</w:t>
      </w:r>
      <w:r w:rsidRPr="01D072D9">
        <w:rPr>
          <w:b/>
          <w:bCs/>
        </w:rPr>
        <w:t xml:space="preserve"> colleagues:</w:t>
      </w:r>
      <w:r>
        <w:t xml:space="preserve"> There should be a duty for </w:t>
      </w:r>
      <w:r w:rsidR="00DD1871">
        <w:t xml:space="preserve">the </w:t>
      </w:r>
      <w:r w:rsidR="6421227D">
        <w:t xml:space="preserve">NHS </w:t>
      </w:r>
      <w:r w:rsidR="00DD1871">
        <w:t>t</w:t>
      </w:r>
      <w:r>
        <w:t>o identify need, collaborate and support alongside local authorities those young people at risk of not progressing successfully to adulthood, thus extending duties under SEND.</w:t>
      </w:r>
    </w:p>
    <w:p w14:paraId="2088CCD4" w14:textId="321F5874" w:rsidR="007B3F2A" w:rsidRPr="007B3F2A" w:rsidRDefault="4FF17EEC" w:rsidP="007B3F2A">
      <w:r w:rsidRPr="11699962">
        <w:rPr>
          <w:b/>
          <w:bCs/>
        </w:rPr>
        <w:t>Aspirational c</w:t>
      </w:r>
      <w:r w:rsidR="7AF31EB0" w:rsidRPr="11699962">
        <w:rPr>
          <w:b/>
          <w:bCs/>
        </w:rPr>
        <w:t>oproduction:</w:t>
      </w:r>
      <w:r w:rsidR="7AF31EB0">
        <w:t xml:space="preserve"> There needs to be increased </w:t>
      </w:r>
      <w:r w:rsidR="1433B916">
        <w:t>aspiration for young people as they move towards adulthood, supporting parents, friends and communi</w:t>
      </w:r>
      <w:r w:rsidR="64404300">
        <w:t>ties to collaborate around the aspiration that young people want to live ‘glorio</w:t>
      </w:r>
      <w:r w:rsidR="488B6867">
        <w:t>usly ordinary lives</w:t>
      </w:r>
      <w:r w:rsidR="0121B5C4">
        <w:t>’ that support their independence, allow them</w:t>
      </w:r>
      <w:r w:rsidR="2C2B77A0">
        <w:t xml:space="preserve"> to live in the place they call home </w:t>
      </w:r>
      <w:r w:rsidR="0AF9FA91">
        <w:t xml:space="preserve">and </w:t>
      </w:r>
      <w:r w:rsidR="44A99B16">
        <w:t xml:space="preserve">contribute to society in ways </w:t>
      </w:r>
      <w:r w:rsidR="10680B90">
        <w:t>that matter</w:t>
      </w:r>
      <w:r w:rsidR="0E7112F7">
        <w:t xml:space="preserve"> to them</w:t>
      </w:r>
      <w:r w:rsidR="37BBE92F">
        <w:t>.</w:t>
      </w:r>
    </w:p>
    <w:p w14:paraId="0760242E" w14:textId="68A0566A" w:rsidR="007B3F2A" w:rsidRPr="007B3F2A" w:rsidRDefault="01B37D40" w:rsidP="007B3F2A">
      <w:r w:rsidRPr="11699962">
        <w:rPr>
          <w:b/>
          <w:bCs/>
        </w:rPr>
        <w:t>C</w:t>
      </w:r>
      <w:r w:rsidR="728474E6" w:rsidRPr="11699962">
        <w:rPr>
          <w:b/>
          <w:bCs/>
        </w:rPr>
        <w:t>oordinated data</w:t>
      </w:r>
      <w:r w:rsidR="40CBB325" w:rsidRPr="11699962">
        <w:rPr>
          <w:b/>
          <w:bCs/>
        </w:rPr>
        <w:t xml:space="preserve"> systems</w:t>
      </w:r>
      <w:r w:rsidR="5F08EB14" w:rsidRPr="11699962">
        <w:rPr>
          <w:b/>
          <w:bCs/>
        </w:rPr>
        <w:t xml:space="preserve">: </w:t>
      </w:r>
      <w:r w:rsidR="5F08EB14">
        <w:t xml:space="preserve">Government needs to work with the sector to enable </w:t>
      </w:r>
      <w:r w:rsidR="6C86D04D">
        <w:t>information</w:t>
      </w:r>
      <w:r w:rsidR="5F08EB14">
        <w:t xml:space="preserve"> to be</w:t>
      </w:r>
      <w:r w:rsidR="282FDBE5">
        <w:t xml:space="preserve"> </w:t>
      </w:r>
      <w:r w:rsidR="59C0686C">
        <w:t xml:space="preserve">collected and </w:t>
      </w:r>
      <w:r w:rsidR="282FDBE5">
        <w:t>stored</w:t>
      </w:r>
      <w:r w:rsidR="5F08EB14">
        <w:t xml:space="preserve"> in ways that allow forward </w:t>
      </w:r>
      <w:r w:rsidR="51B6347F">
        <w:t>planning and anticipation of future need</w:t>
      </w:r>
      <w:r w:rsidR="7E4F2FD3">
        <w:t xml:space="preserve">. </w:t>
      </w:r>
      <w:r w:rsidR="37BBE92F">
        <w:t xml:space="preserve"> </w:t>
      </w:r>
      <w:r w:rsidR="00F26965">
        <w:br w:type="page"/>
      </w:r>
    </w:p>
    <w:p w14:paraId="31E0F52A" w14:textId="77777777" w:rsidR="007B3F2A" w:rsidRPr="007B3F2A" w:rsidRDefault="007B3F2A" w:rsidP="00F26965">
      <w:pPr>
        <w:pStyle w:val="Heading3"/>
      </w:pPr>
      <w:r w:rsidRPr="007B3F2A">
        <w:lastRenderedPageBreak/>
        <w:t>Background</w:t>
      </w:r>
    </w:p>
    <w:p w14:paraId="1E2A105F" w14:textId="77777777" w:rsidR="007B3F2A" w:rsidRPr="007B3F2A" w:rsidRDefault="007B3F2A" w:rsidP="007B3F2A">
      <w:r w:rsidRPr="007B3F2A">
        <w:t xml:space="preserve">There is significant national evidence that the transition for young people leaving care or with SEND represents a “cliff edge” in the services and support available to them. Learning from individual examples of best practice is limited and there is no standard approach to graduated help for adults that address </w:t>
      </w:r>
      <w:proofErr w:type="spellStart"/>
      <w:r w:rsidRPr="007B3F2A">
        <w:t>PfA</w:t>
      </w:r>
      <w:proofErr w:type="spellEnd"/>
      <w:r w:rsidRPr="007B3F2A">
        <w:t xml:space="preserve"> in the way that Children’s services address using early help services. </w:t>
      </w:r>
    </w:p>
    <w:p w14:paraId="4EC2C442" w14:textId="77777777" w:rsidR="007B3F2A" w:rsidRPr="007B3F2A" w:rsidRDefault="007B3F2A" w:rsidP="007B3F2A">
      <w:r w:rsidRPr="007B3F2A">
        <w:t xml:space="preserve">Looking across the various reports describing the challenges for adolescents moving towards adulthood, and what good practice would look like, there are consistent themes. </w:t>
      </w:r>
    </w:p>
    <w:p w14:paraId="20EFF736" w14:textId="77777777" w:rsidR="007B3F2A" w:rsidRPr="007B3F2A" w:rsidRDefault="3229F03E" w:rsidP="00F26965">
      <w:pPr>
        <w:numPr>
          <w:ilvl w:val="0"/>
          <w:numId w:val="9"/>
        </w:numPr>
      </w:pPr>
      <w:r>
        <w:t>The importance of early, integrated planning that effectively involves young people and their families</w:t>
      </w:r>
    </w:p>
    <w:p w14:paraId="4E4BA7F8" w14:textId="64C3D08E" w:rsidR="68D6BD20" w:rsidRDefault="68D6BD20" w:rsidP="11699962">
      <w:pPr>
        <w:numPr>
          <w:ilvl w:val="0"/>
          <w:numId w:val="9"/>
        </w:numPr>
      </w:pPr>
      <w:r>
        <w:t xml:space="preserve">Data </w:t>
      </w:r>
      <w:r w:rsidR="3889DA62">
        <w:t xml:space="preserve">&amp; regulatory </w:t>
      </w:r>
      <w:r>
        <w:t>systems that support forward planning</w:t>
      </w:r>
      <w:r w:rsidR="29228F49">
        <w:t xml:space="preserve"> and PfA</w:t>
      </w:r>
    </w:p>
    <w:p w14:paraId="30EBA74A" w14:textId="77777777" w:rsidR="007B3F2A" w:rsidRPr="007B3F2A" w:rsidRDefault="007B3F2A" w:rsidP="00F26965">
      <w:pPr>
        <w:numPr>
          <w:ilvl w:val="0"/>
          <w:numId w:val="9"/>
        </w:numPr>
      </w:pPr>
      <w:r w:rsidRPr="007B3F2A">
        <w:t>An early focus on building independence and life skills</w:t>
      </w:r>
    </w:p>
    <w:p w14:paraId="5B7D7F19" w14:textId="77777777" w:rsidR="007B3F2A" w:rsidRPr="007B3F2A" w:rsidRDefault="007B3F2A" w:rsidP="00F26965">
      <w:pPr>
        <w:numPr>
          <w:ilvl w:val="0"/>
          <w:numId w:val="9"/>
        </w:numPr>
      </w:pPr>
      <w:r w:rsidRPr="007B3F2A">
        <w:t>Access to education, employment or training for young adults</w:t>
      </w:r>
    </w:p>
    <w:p w14:paraId="7881CB47" w14:textId="77777777" w:rsidR="007B3F2A" w:rsidRPr="007B3F2A" w:rsidRDefault="007B3F2A" w:rsidP="00F26965">
      <w:pPr>
        <w:numPr>
          <w:ilvl w:val="0"/>
          <w:numId w:val="9"/>
        </w:numPr>
      </w:pPr>
      <w:r w:rsidRPr="007B3F2A">
        <w:t xml:space="preserve">An inclusive community-based prevention </w:t>
      </w:r>
      <w:proofErr w:type="gramStart"/>
      <w:r w:rsidRPr="007B3F2A">
        <w:t>offer</w:t>
      </w:r>
      <w:proofErr w:type="gramEnd"/>
    </w:p>
    <w:p w14:paraId="5AE520D5" w14:textId="2856A6AA" w:rsidR="007B3F2A" w:rsidRDefault="007B3F2A" w:rsidP="007B3F2A">
      <w:pPr>
        <w:numPr>
          <w:ilvl w:val="0"/>
          <w:numId w:val="9"/>
        </w:numPr>
      </w:pPr>
      <w:r w:rsidRPr="007B3F2A">
        <w:t>All underpinned by a whole system, integrated offer - particularly with health partners</w:t>
      </w:r>
    </w:p>
    <w:p w14:paraId="011F51A9" w14:textId="711CE57A" w:rsidR="00F26965" w:rsidRPr="007B3F2A" w:rsidRDefault="00F26965" w:rsidP="00F26965">
      <w:pPr>
        <w:pStyle w:val="Heading2"/>
      </w:pPr>
      <w:r>
        <w:t>Evidence</w:t>
      </w:r>
    </w:p>
    <w:p w14:paraId="232960A6" w14:textId="77777777" w:rsidR="007B3F2A" w:rsidRPr="007B3F2A" w:rsidRDefault="007B3F2A" w:rsidP="007B3F2A">
      <w:pPr>
        <w:rPr>
          <w:b/>
          <w:bCs/>
          <w:i/>
          <w:iCs/>
        </w:rPr>
      </w:pPr>
      <w:r w:rsidRPr="007B3F2A">
        <w:rPr>
          <w:b/>
          <w:bCs/>
          <w:i/>
          <w:iCs/>
        </w:rPr>
        <w:t xml:space="preserve">Current outcome measures for </w:t>
      </w:r>
      <w:proofErr w:type="spellStart"/>
      <w:r w:rsidRPr="007B3F2A">
        <w:rPr>
          <w:b/>
          <w:bCs/>
          <w:i/>
          <w:iCs/>
        </w:rPr>
        <w:t>PfA</w:t>
      </w:r>
      <w:proofErr w:type="spellEnd"/>
    </w:p>
    <w:p w14:paraId="056D8EE9" w14:textId="08754CC9" w:rsidR="007B3F2A" w:rsidRPr="007B3F2A" w:rsidRDefault="3229F03E" w:rsidP="007B3F2A">
      <w:r>
        <w:t>There are few outcome measures that address this age cohort, so we rely on anecdotal evidence from famil</w:t>
      </w:r>
      <w:r w:rsidR="19FB71F6">
        <w:t>ies</w:t>
      </w:r>
      <w:r>
        <w:t xml:space="preserve">, people and professionals. There are examples of where support works well, but there are also many stories from people that they do indeed experience the cliff edge.  Additionally transitional safeguarding approaches that were developed following evidence from Safeguarding Adult Reviews shows that those moving to adulthood faced </w:t>
      </w:r>
      <w:proofErr w:type="gramStart"/>
      <w:r>
        <w:t>particular risks</w:t>
      </w:r>
      <w:proofErr w:type="gramEnd"/>
      <w:r>
        <w:t xml:space="preserve"> from self-harm, exploitation and severe multiple disadvantage.</w:t>
      </w:r>
    </w:p>
    <w:p w14:paraId="57102283" w14:textId="77777777" w:rsidR="007B3F2A" w:rsidRPr="007B3F2A" w:rsidRDefault="007B3F2A" w:rsidP="007B3F2A">
      <w:pPr>
        <w:rPr>
          <w:b/>
          <w:bCs/>
          <w:i/>
          <w:iCs/>
        </w:rPr>
      </w:pPr>
      <w:r w:rsidRPr="007B3F2A">
        <w:rPr>
          <w:b/>
          <w:bCs/>
          <w:i/>
          <w:iCs/>
        </w:rPr>
        <w:t>Working age adults and budget pressures for local authorities</w:t>
      </w:r>
    </w:p>
    <w:p w14:paraId="2108D954" w14:textId="77777777" w:rsidR="007B3F2A" w:rsidRPr="007B3F2A" w:rsidRDefault="007B3F2A" w:rsidP="007B3F2A">
      <w:r w:rsidRPr="007B3F2A">
        <w:t>Through the ADASS survey we are gathering data on pressures for adult social care for younger adults, however there is both anecdotal and quantitative evidence from the Newton report – ‘Working age adults the forgotten story’ that young adults moving from ECHP/Children’s Services make up an area of one of the biggest rises in cost and demand  for working age adults projected to 2030 based on current data.</w:t>
      </w:r>
    </w:p>
    <w:p w14:paraId="33D86E90" w14:textId="77777777" w:rsidR="007B3F2A" w:rsidRPr="007B3F2A" w:rsidRDefault="007B3F2A" w:rsidP="007B3F2A">
      <w:pPr>
        <w:rPr>
          <w:b/>
          <w:bCs/>
          <w:i/>
          <w:iCs/>
        </w:rPr>
      </w:pPr>
      <w:r w:rsidRPr="007B3F2A">
        <w:rPr>
          <w:b/>
          <w:bCs/>
          <w:i/>
          <w:iCs/>
        </w:rPr>
        <w:t xml:space="preserve">Regulatory compliance </w:t>
      </w:r>
    </w:p>
    <w:p w14:paraId="111654DF" w14:textId="77777777" w:rsidR="007B3F2A" w:rsidRPr="007B3F2A" w:rsidRDefault="007B3F2A" w:rsidP="007B3F2A">
      <w:r w:rsidRPr="007B3F2A">
        <w:t xml:space="preserve">There is statutory guidance outlining the support that should be offered to young people to prepare for adulthood through NICE and the SEND Code of Practice. There is anecdotal evidence that this is not routinely met in Councils without specific </w:t>
      </w:r>
      <w:proofErr w:type="spellStart"/>
      <w:r w:rsidRPr="007B3F2A">
        <w:t>PfA</w:t>
      </w:r>
      <w:proofErr w:type="spellEnd"/>
      <w:r w:rsidRPr="007B3F2A">
        <w:t xml:space="preserve"> arrangements. </w:t>
      </w:r>
    </w:p>
    <w:p w14:paraId="20C29839" w14:textId="77777777" w:rsidR="007B3F2A" w:rsidRPr="007B3F2A" w:rsidRDefault="007B3F2A" w:rsidP="007B3F2A">
      <w:r w:rsidRPr="007B3F2A">
        <w:lastRenderedPageBreak/>
        <w:t xml:space="preserve">Both Ofsted and the Care Quality Commission have published reports identifying the areas for improvement identified through inspection.  Where local area partnerships were stronger and the </w:t>
      </w:r>
      <w:proofErr w:type="spellStart"/>
      <w:r w:rsidRPr="007B3F2A">
        <w:t>PfA</w:t>
      </w:r>
      <w:proofErr w:type="spellEnd"/>
      <w:r w:rsidRPr="007B3F2A">
        <w:t xml:space="preserve"> work more effective, support typically includes:</w:t>
      </w:r>
    </w:p>
    <w:p w14:paraId="645698CC" w14:textId="77777777" w:rsidR="007B3F2A" w:rsidRPr="007B3F2A" w:rsidRDefault="007B3F2A" w:rsidP="007B3F2A">
      <w:pPr>
        <w:numPr>
          <w:ilvl w:val="0"/>
          <w:numId w:val="3"/>
        </w:numPr>
      </w:pPr>
      <w:r w:rsidRPr="007B3F2A">
        <w:t xml:space="preserve"> preparation for adulthood started in the early years and was a consistent part of a child or young person’s EHC plan.</w:t>
      </w:r>
    </w:p>
    <w:p w14:paraId="6930BEFF" w14:textId="77777777" w:rsidR="007B3F2A" w:rsidRPr="007B3F2A" w:rsidRDefault="007B3F2A" w:rsidP="007B3F2A">
      <w:pPr>
        <w:numPr>
          <w:ilvl w:val="0"/>
          <w:numId w:val="3"/>
        </w:numPr>
      </w:pPr>
      <w:r w:rsidRPr="007B3F2A">
        <w:t>worked collaboratively to share expertise and enhance provision in a way that is informed by the views and wishes of children and young people.</w:t>
      </w:r>
    </w:p>
    <w:p w14:paraId="0E1C2444" w14:textId="77777777" w:rsidR="007B3F2A" w:rsidRPr="007B3F2A" w:rsidRDefault="007B3F2A" w:rsidP="007B3F2A">
      <w:pPr>
        <w:numPr>
          <w:ilvl w:val="0"/>
          <w:numId w:val="3"/>
        </w:numPr>
      </w:pPr>
      <w:r w:rsidRPr="007B3F2A">
        <w:t>developed services that are ‘all age’ and support children and young people with SEND through to the age of 25.</w:t>
      </w:r>
    </w:p>
    <w:p w14:paraId="68A80032" w14:textId="77777777" w:rsidR="007B3F2A" w:rsidRPr="007B3F2A" w:rsidRDefault="007B3F2A" w:rsidP="007B3F2A">
      <w:pPr>
        <w:numPr>
          <w:ilvl w:val="0"/>
          <w:numId w:val="3"/>
        </w:numPr>
      </w:pPr>
      <w:r w:rsidRPr="007B3F2A">
        <w:t>staff that were dedicated to helping children and young people to prepare for adulthood. This was particularly strong for children in care or care leavers who had consistent workers beyond the age of 18.</w:t>
      </w:r>
    </w:p>
    <w:p w14:paraId="7ECBE40F" w14:textId="101C608C" w:rsidR="001B0395" w:rsidRPr="00FE6B93" w:rsidRDefault="007B3F2A" w:rsidP="007B3F2A">
      <w:r w:rsidRPr="007B3F2A">
        <w:t>The Care Quality Commission have found that Preparation for Adulthood is an area of weakness in Local Authority Assessment and are describing this to be an area of future focus.</w:t>
      </w:r>
    </w:p>
    <w:p w14:paraId="336E996C" w14:textId="77777777" w:rsidR="00F26965" w:rsidRPr="007B3F2A" w:rsidRDefault="00F26965" w:rsidP="00F26965">
      <w:pPr>
        <w:rPr>
          <w:b/>
          <w:bCs/>
          <w:i/>
          <w:iCs/>
        </w:rPr>
      </w:pPr>
      <w:r w:rsidRPr="007B3F2A">
        <w:rPr>
          <w:b/>
          <w:bCs/>
          <w:i/>
          <w:iCs/>
        </w:rPr>
        <w:t>Data evidence</w:t>
      </w:r>
    </w:p>
    <w:p w14:paraId="35009B01" w14:textId="77777777" w:rsidR="00F26965" w:rsidRPr="007B3F2A" w:rsidRDefault="00F26965" w:rsidP="00F26965">
      <w:r w:rsidRPr="007B3F2A">
        <w:t xml:space="preserve">In the East Midlands, the region looked at the highest cost packages of support for each Council and </w:t>
      </w:r>
      <w:proofErr w:type="gramStart"/>
      <w:r w:rsidRPr="007B3F2A">
        <w:t>the majority of</w:t>
      </w:r>
      <w:proofErr w:type="gramEnd"/>
      <w:r w:rsidRPr="007B3F2A">
        <w:t xml:space="preserve"> these covered people under the age of 20 and almost all were under the age of 25 years old. Many needed restrictive support such as 2-1 and 3-1 staffing and involved joint finance with the ICB. </w:t>
      </w:r>
    </w:p>
    <w:p w14:paraId="734735E0" w14:textId="38592259" w:rsidR="00F26965" w:rsidRPr="007B3F2A" w:rsidRDefault="71AA0098" w:rsidP="00F26965">
      <w:r>
        <w:t xml:space="preserve">Nationally, the ADASS Spring Survey has </w:t>
      </w:r>
      <w:r w:rsidR="2FEDC2C6">
        <w:t>i</w:t>
      </w:r>
      <w:r>
        <w:t>dentified a cost increase in the numbers of young people aged 18-24yrs in high-cost placement. In April, DASS’s reported an 18% year on year increase (to 7764 young adults aged 18-24) nationally with packages of care which cost more than £55,000 per year. The overall numbers of young people aged 18 to 24 and in receipt of support has grown from 31,371 to 35702 (23/24 to 24/25) an increase of 14%.</w:t>
      </w:r>
    </w:p>
    <w:p w14:paraId="5CA8463E" w14:textId="2C6508C6" w:rsidR="25FDD767" w:rsidRDefault="25FDD767">
      <w:r>
        <w:t xml:space="preserve">Additionally, members regularly report challenges with identifying those young </w:t>
      </w:r>
      <w:r w:rsidR="3B07739F">
        <w:t>people</w:t>
      </w:r>
      <w:r>
        <w:t xml:space="preserve"> who are likely to need support into adulthood</w:t>
      </w:r>
      <w:r w:rsidR="7BE486E7">
        <w:t>, with information held on multiple systems that don’t talk to one another. Many auth</w:t>
      </w:r>
      <w:r w:rsidR="2FE74E4C">
        <w:t>orities report using excel spreadsheets and monthly meetings</w:t>
      </w:r>
      <w:r w:rsidR="25294D9D">
        <w:t xml:space="preserve"> at a senior level</w:t>
      </w:r>
      <w:r w:rsidR="2FE74E4C">
        <w:t xml:space="preserve"> to ensure</w:t>
      </w:r>
      <w:r w:rsidR="57950248">
        <w:t xml:space="preserve"> they </w:t>
      </w:r>
      <w:proofErr w:type="gramStart"/>
      <w:r w:rsidR="57950248">
        <w:t>are able to</w:t>
      </w:r>
      <w:proofErr w:type="gramEnd"/>
      <w:r w:rsidR="57950248">
        <w:t xml:space="preserve"> identify and plan for the support of young poeple.</w:t>
      </w:r>
      <w:r w:rsidR="2FE74E4C">
        <w:t xml:space="preserve"> </w:t>
      </w:r>
    </w:p>
    <w:p w14:paraId="0D84BD70" w14:textId="670DD2F9" w:rsidR="007B3F2A" w:rsidRPr="00DB3B4B" w:rsidRDefault="007B3F2A" w:rsidP="00DB3B4B">
      <w:r>
        <w:br w:type="page"/>
      </w:r>
    </w:p>
    <w:p w14:paraId="465E16DD" w14:textId="77777777" w:rsidR="001B0395" w:rsidRPr="001B0395" w:rsidRDefault="001B0395"/>
    <w:sectPr w:rsidR="001B0395" w:rsidRPr="001B0395" w:rsidSect="001B0395">
      <w:headerReference w:type="default" r:id="rId10"/>
      <w:footerReference w:type="default" r:id="rId11"/>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93BC" w14:textId="77777777" w:rsidR="00FE1DE7" w:rsidRDefault="00FE1DE7" w:rsidP="001B0395">
      <w:pPr>
        <w:spacing w:after="0" w:line="240" w:lineRule="auto"/>
      </w:pPr>
      <w:r>
        <w:separator/>
      </w:r>
    </w:p>
  </w:endnote>
  <w:endnote w:type="continuationSeparator" w:id="0">
    <w:p w14:paraId="04F68B3F" w14:textId="77777777" w:rsidR="00FE1DE7" w:rsidRDefault="00FE1DE7" w:rsidP="001B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M Sans">
    <w:charset w:val="00"/>
    <w:family w:val="auto"/>
    <w:pitch w:val="variable"/>
    <w:sig w:usb0="8000002F"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4CB4" w14:textId="77777777" w:rsidR="00EC5181" w:rsidRDefault="00EC5181">
    <w:pPr>
      <w:pStyle w:val="Footer"/>
      <w:rPr>
        <w:sz w:val="16"/>
        <w:szCs w:val="16"/>
      </w:rPr>
    </w:pPr>
    <w:r>
      <w:rPr>
        <w:noProof/>
        <w:sz w:val="16"/>
        <w:szCs w:val="16"/>
      </w:rPr>
      <mc:AlternateContent>
        <mc:Choice Requires="wps">
          <w:drawing>
            <wp:anchor distT="0" distB="0" distL="114300" distR="114300" simplePos="0" relativeHeight="251658241" behindDoc="0" locked="0" layoutInCell="1" allowOverlap="1" wp14:anchorId="41EABB5D" wp14:editId="6522BF97">
              <wp:simplePos x="0" y="0"/>
              <wp:positionH relativeFrom="column">
                <wp:posOffset>12700</wp:posOffset>
              </wp:positionH>
              <wp:positionV relativeFrom="paragraph">
                <wp:posOffset>85090</wp:posOffset>
              </wp:positionV>
              <wp:extent cx="6642100" cy="0"/>
              <wp:effectExtent l="0" t="0" r="12700" b="12700"/>
              <wp:wrapNone/>
              <wp:docPr id="1086700879"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9D0EA"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pt,6.7pt" to="52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" strokecolor="#920146 [3204]" strokeweight=".5pt">
              <v:stroke joinstyle="miter"/>
            </v:line>
          </w:pict>
        </mc:Fallback>
      </mc:AlternateContent>
    </w:r>
  </w:p>
  <w:p w14:paraId="67B945CB" w14:textId="77777777" w:rsidR="00EC5181" w:rsidRPr="00EC5181" w:rsidRDefault="00EC5181">
    <w:pPr>
      <w:pStyle w:val="Footer"/>
      <w:rPr>
        <w:sz w:val="16"/>
        <w:szCs w:val="16"/>
      </w:rPr>
    </w:pPr>
    <w:r w:rsidRPr="00EC5181">
      <w:rPr>
        <w:sz w:val="16"/>
        <w:szCs w:val="16"/>
      </w:rPr>
      <w:t>Charity reg: 299154</w:t>
    </w:r>
    <w:r w:rsidRPr="00EC5181">
      <w:rPr>
        <w:sz w:val="16"/>
        <w:szCs w:val="16"/>
      </w:rPr>
      <w:ptab w:relativeTo="margin" w:alignment="center" w:leader="none"/>
    </w:r>
    <w:r w:rsidRPr="00EC5181">
      <w:rPr>
        <w:sz w:val="16"/>
        <w:szCs w:val="16"/>
      </w:rPr>
      <w:t>Association of Directors of Adult Social Services 18 Smith Square London SW1P 3HZ</w:t>
    </w:r>
    <w:r w:rsidRPr="00EC5181">
      <w:rPr>
        <w:sz w:val="16"/>
        <w:szCs w:val="16"/>
      </w:rPr>
      <w:ptab w:relativeTo="margin" w:alignment="right" w:leader="none"/>
    </w:r>
    <w:r>
      <w:rPr>
        <w:sz w:val="16"/>
        <w:szCs w:val="16"/>
      </w:rPr>
      <w:t>team@adass.org.uk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CB6D" w14:textId="77777777" w:rsidR="00FE1DE7" w:rsidRDefault="00FE1DE7" w:rsidP="001B0395">
      <w:pPr>
        <w:spacing w:after="0" w:line="240" w:lineRule="auto"/>
      </w:pPr>
      <w:r>
        <w:separator/>
      </w:r>
    </w:p>
  </w:footnote>
  <w:footnote w:type="continuationSeparator" w:id="0">
    <w:p w14:paraId="183437BC" w14:textId="77777777" w:rsidR="00FE1DE7" w:rsidRDefault="00FE1DE7" w:rsidP="001B0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2D63" w14:textId="77777777" w:rsidR="001B0395" w:rsidRDefault="001B0395">
    <w:pPr>
      <w:pStyle w:val="Header"/>
    </w:pPr>
    <w:r>
      <w:rPr>
        <w:noProof/>
      </w:rPr>
      <w:drawing>
        <wp:anchor distT="0" distB="0" distL="114300" distR="114300" simplePos="0" relativeHeight="251658240" behindDoc="0" locked="1" layoutInCell="1" allowOverlap="0" wp14:anchorId="0D7A3FA0" wp14:editId="25E79FD0">
          <wp:simplePos x="0" y="0"/>
          <wp:positionH relativeFrom="page">
            <wp:posOffset>6124575</wp:posOffset>
          </wp:positionH>
          <wp:positionV relativeFrom="page">
            <wp:posOffset>342265</wp:posOffset>
          </wp:positionV>
          <wp:extent cx="1054735" cy="597535"/>
          <wp:effectExtent l="0" t="0" r="0" b="0"/>
          <wp:wrapTopAndBottom/>
          <wp:docPr id="12364574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5740" name="Graphic 1236457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54735"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ADC"/>
    <w:multiLevelType w:val="multilevel"/>
    <w:tmpl w:val="7690CFC0"/>
    <w:lvl w:ilvl="0">
      <w:start w:val="2"/>
      <w:numFmt w:val="bullet"/>
      <w:lvlText w:val="-"/>
      <w:lvlJc w:val="left"/>
      <w:pPr>
        <w:tabs>
          <w:tab w:val="num" w:pos="720"/>
        </w:tabs>
        <w:ind w:left="720" w:hanging="360"/>
      </w:pPr>
      <w:rPr>
        <w:rFonts w:ascii="Corbel" w:eastAsiaTheme="minorHAnsi" w:hAnsi="Corbel"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B4417"/>
    <w:multiLevelType w:val="hybridMultilevel"/>
    <w:tmpl w:val="DC8C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B3135"/>
    <w:multiLevelType w:val="hybridMultilevel"/>
    <w:tmpl w:val="BA2A6512"/>
    <w:lvl w:ilvl="0" w:tplc="08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EC3799"/>
    <w:multiLevelType w:val="hybridMultilevel"/>
    <w:tmpl w:val="481A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D7F2F"/>
    <w:multiLevelType w:val="hybridMultilevel"/>
    <w:tmpl w:val="06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F2E56"/>
    <w:multiLevelType w:val="hybridMultilevel"/>
    <w:tmpl w:val="85CC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568EA"/>
    <w:multiLevelType w:val="hybridMultilevel"/>
    <w:tmpl w:val="692A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9F31B3"/>
    <w:multiLevelType w:val="hybridMultilevel"/>
    <w:tmpl w:val="D23E1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948EB"/>
    <w:multiLevelType w:val="hybridMultilevel"/>
    <w:tmpl w:val="4A18EB08"/>
    <w:lvl w:ilvl="0" w:tplc="E9ACF4AE">
      <w:start w:val="2"/>
      <w:numFmt w:val="bullet"/>
      <w:lvlText w:val="-"/>
      <w:lvlJc w:val="left"/>
      <w:pPr>
        <w:ind w:left="720" w:hanging="360"/>
      </w:pPr>
      <w:rPr>
        <w:rFonts w:ascii="Corbel" w:eastAsiaTheme="minorHAnsi" w:hAnsi="Corbel" w:cstheme="minorBidi" w:hint="default"/>
      </w:rPr>
    </w:lvl>
    <w:lvl w:ilvl="1" w:tplc="2DCAFF3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118833">
    <w:abstractNumId w:val="3"/>
  </w:num>
  <w:num w:numId="2" w16cid:durableId="983504566">
    <w:abstractNumId w:val="8"/>
  </w:num>
  <w:num w:numId="3" w16cid:durableId="1444694559">
    <w:abstractNumId w:val="0"/>
  </w:num>
  <w:num w:numId="4" w16cid:durableId="1049956556">
    <w:abstractNumId w:val="1"/>
  </w:num>
  <w:num w:numId="5" w16cid:durableId="1815024074">
    <w:abstractNumId w:val="5"/>
  </w:num>
  <w:num w:numId="6" w16cid:durableId="1471901032">
    <w:abstractNumId w:val="7"/>
  </w:num>
  <w:num w:numId="7" w16cid:durableId="1394935662">
    <w:abstractNumId w:val="6"/>
  </w:num>
  <w:num w:numId="8" w16cid:durableId="1706059967">
    <w:abstractNumId w:val="4"/>
  </w:num>
  <w:num w:numId="9" w16cid:durableId="206721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2A"/>
    <w:rsid w:val="00012F40"/>
    <w:rsid w:val="001262E1"/>
    <w:rsid w:val="001B0395"/>
    <w:rsid w:val="0023759B"/>
    <w:rsid w:val="00342B85"/>
    <w:rsid w:val="00364B8E"/>
    <w:rsid w:val="00406C93"/>
    <w:rsid w:val="00546B48"/>
    <w:rsid w:val="005A14CF"/>
    <w:rsid w:val="005B1EB4"/>
    <w:rsid w:val="0076142C"/>
    <w:rsid w:val="007B3F2A"/>
    <w:rsid w:val="0081713E"/>
    <w:rsid w:val="00862BFB"/>
    <w:rsid w:val="008E5C82"/>
    <w:rsid w:val="009E3DD4"/>
    <w:rsid w:val="00AB0AB3"/>
    <w:rsid w:val="00BC4DDC"/>
    <w:rsid w:val="00C341E0"/>
    <w:rsid w:val="00C72D68"/>
    <w:rsid w:val="00CD648C"/>
    <w:rsid w:val="00D11313"/>
    <w:rsid w:val="00DB3B4B"/>
    <w:rsid w:val="00DD1871"/>
    <w:rsid w:val="00EC5181"/>
    <w:rsid w:val="00F26965"/>
    <w:rsid w:val="00FE1DE7"/>
    <w:rsid w:val="00FE6B93"/>
    <w:rsid w:val="0121B5C4"/>
    <w:rsid w:val="01432702"/>
    <w:rsid w:val="01B37D40"/>
    <w:rsid w:val="01D072D9"/>
    <w:rsid w:val="0213407E"/>
    <w:rsid w:val="0849FF92"/>
    <w:rsid w:val="0AF9FA91"/>
    <w:rsid w:val="0D6FAECA"/>
    <w:rsid w:val="0E7112F7"/>
    <w:rsid w:val="0FB9FCC4"/>
    <w:rsid w:val="10680B90"/>
    <w:rsid w:val="11699962"/>
    <w:rsid w:val="1433B916"/>
    <w:rsid w:val="1751FA8F"/>
    <w:rsid w:val="1899FD02"/>
    <w:rsid w:val="19FB71F6"/>
    <w:rsid w:val="2360EB8B"/>
    <w:rsid w:val="24C07E89"/>
    <w:rsid w:val="25294D9D"/>
    <w:rsid w:val="25FDD767"/>
    <w:rsid w:val="2651B312"/>
    <w:rsid w:val="265FA377"/>
    <w:rsid w:val="27956D86"/>
    <w:rsid w:val="27DCD588"/>
    <w:rsid w:val="282FDBE5"/>
    <w:rsid w:val="29228F49"/>
    <w:rsid w:val="2B577CBE"/>
    <w:rsid w:val="2C2B77A0"/>
    <w:rsid w:val="2C75729A"/>
    <w:rsid w:val="2CB739EC"/>
    <w:rsid w:val="2FE74E4C"/>
    <w:rsid w:val="2FEDC2C6"/>
    <w:rsid w:val="31126F59"/>
    <w:rsid w:val="31C3AC83"/>
    <w:rsid w:val="3229F03E"/>
    <w:rsid w:val="37BBE92F"/>
    <w:rsid w:val="3889DA62"/>
    <w:rsid w:val="3B07739F"/>
    <w:rsid w:val="3B2CB276"/>
    <w:rsid w:val="3CB7729F"/>
    <w:rsid w:val="3D1DD538"/>
    <w:rsid w:val="3DE4AD1A"/>
    <w:rsid w:val="3EA4D28F"/>
    <w:rsid w:val="40CBB325"/>
    <w:rsid w:val="44A99B16"/>
    <w:rsid w:val="488B6867"/>
    <w:rsid w:val="499235F6"/>
    <w:rsid w:val="4FF17EEC"/>
    <w:rsid w:val="5080BE71"/>
    <w:rsid w:val="5089D7E1"/>
    <w:rsid w:val="51B6347F"/>
    <w:rsid w:val="5252E273"/>
    <w:rsid w:val="5645DD09"/>
    <w:rsid w:val="57950248"/>
    <w:rsid w:val="59C0686C"/>
    <w:rsid w:val="5E7365C1"/>
    <w:rsid w:val="5EB86374"/>
    <w:rsid w:val="5F08EB14"/>
    <w:rsid w:val="61DC88BC"/>
    <w:rsid w:val="6421227D"/>
    <w:rsid w:val="64404300"/>
    <w:rsid w:val="64EA9078"/>
    <w:rsid w:val="64FF783B"/>
    <w:rsid w:val="6632749B"/>
    <w:rsid w:val="6681B333"/>
    <w:rsid w:val="68D6BD20"/>
    <w:rsid w:val="6A7AE33A"/>
    <w:rsid w:val="6C86D04D"/>
    <w:rsid w:val="712077BA"/>
    <w:rsid w:val="71AA0098"/>
    <w:rsid w:val="7249F1A5"/>
    <w:rsid w:val="728474E6"/>
    <w:rsid w:val="7594AE60"/>
    <w:rsid w:val="77B018E3"/>
    <w:rsid w:val="7AF31EB0"/>
    <w:rsid w:val="7BE486E7"/>
    <w:rsid w:val="7E4F2F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A1A54"/>
  <w15:chartTrackingRefBased/>
  <w15:docId w15:val="{125A9C36-DFF7-4DDB-8B44-53B690B9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93"/>
    <w:rPr>
      <w:rFonts w:ascii="DM Sans" w:hAnsi="DM Sans"/>
      <w:color w:val="000000" w:themeColor="text1"/>
      <w:sz w:val="22"/>
    </w:rPr>
  </w:style>
  <w:style w:type="paragraph" w:styleId="Heading1">
    <w:name w:val="heading 1"/>
    <w:basedOn w:val="Normal"/>
    <w:next w:val="Normal"/>
    <w:link w:val="Heading1Char"/>
    <w:uiPriority w:val="9"/>
    <w:qFormat/>
    <w:rsid w:val="001B0395"/>
    <w:pPr>
      <w:keepNext/>
      <w:keepLines/>
      <w:spacing w:before="360" w:after="80"/>
      <w:outlineLvl w:val="0"/>
    </w:pPr>
    <w:rPr>
      <w:rFonts w:eastAsiaTheme="majorEastAsia" w:cstheme="majorBidi"/>
      <w:color w:val="1D2A50" w:themeColor="text2"/>
      <w:sz w:val="40"/>
      <w:szCs w:val="40"/>
    </w:rPr>
  </w:style>
  <w:style w:type="paragraph" w:styleId="Heading2">
    <w:name w:val="heading 2"/>
    <w:basedOn w:val="Normal"/>
    <w:next w:val="Normal"/>
    <w:link w:val="Heading2Char"/>
    <w:uiPriority w:val="9"/>
    <w:unhideWhenUsed/>
    <w:qFormat/>
    <w:rsid w:val="001B0395"/>
    <w:pPr>
      <w:keepNext/>
      <w:keepLines/>
      <w:spacing w:before="160" w:after="80"/>
      <w:outlineLvl w:val="1"/>
    </w:pPr>
    <w:rPr>
      <w:rFonts w:eastAsiaTheme="majorEastAsia" w:cstheme="majorBidi"/>
      <w:b/>
      <w:color w:val="1D2A50" w:themeColor="text2"/>
      <w:sz w:val="28"/>
      <w:szCs w:val="32"/>
    </w:rPr>
  </w:style>
  <w:style w:type="paragraph" w:styleId="Heading3">
    <w:name w:val="heading 3"/>
    <w:basedOn w:val="Normal"/>
    <w:next w:val="Normal"/>
    <w:link w:val="Heading3Char"/>
    <w:uiPriority w:val="9"/>
    <w:unhideWhenUsed/>
    <w:qFormat/>
    <w:rsid w:val="001B0395"/>
    <w:pPr>
      <w:keepNext/>
      <w:keepLines/>
      <w:spacing w:before="160" w:after="80"/>
      <w:outlineLvl w:val="2"/>
    </w:pPr>
    <w:rPr>
      <w:rFonts w:eastAsiaTheme="majorEastAsia" w:cstheme="majorBidi"/>
      <w:color w:val="6D0034" w:themeColor="accent1" w:themeShade="BF"/>
      <w:sz w:val="26"/>
      <w:szCs w:val="28"/>
    </w:rPr>
  </w:style>
  <w:style w:type="paragraph" w:styleId="Heading4">
    <w:name w:val="heading 4"/>
    <w:basedOn w:val="Normal"/>
    <w:next w:val="Normal"/>
    <w:link w:val="Heading4Char"/>
    <w:uiPriority w:val="9"/>
    <w:semiHidden/>
    <w:unhideWhenUsed/>
    <w:qFormat/>
    <w:rsid w:val="001B0395"/>
    <w:pPr>
      <w:keepNext/>
      <w:keepLines/>
      <w:spacing w:before="80" w:after="40"/>
      <w:outlineLvl w:val="3"/>
    </w:pPr>
    <w:rPr>
      <w:rFonts w:eastAsiaTheme="majorEastAsia" w:cstheme="majorBidi"/>
      <w:b/>
      <w:iCs/>
      <w:color w:val="6D0034" w:themeColor="accent1" w:themeShade="BF"/>
      <w:sz w:val="24"/>
    </w:rPr>
  </w:style>
  <w:style w:type="paragraph" w:styleId="Heading5">
    <w:name w:val="heading 5"/>
    <w:basedOn w:val="Normal"/>
    <w:next w:val="Normal"/>
    <w:link w:val="Heading5Char"/>
    <w:uiPriority w:val="9"/>
    <w:semiHidden/>
    <w:unhideWhenUsed/>
    <w:qFormat/>
    <w:rsid w:val="009E3DD4"/>
    <w:pPr>
      <w:keepNext/>
      <w:keepLines/>
      <w:spacing w:before="80" w:after="40"/>
      <w:outlineLvl w:val="4"/>
    </w:pPr>
    <w:rPr>
      <w:rFonts w:eastAsiaTheme="majorEastAsia" w:cstheme="majorBidi"/>
      <w:color w:val="6D0034" w:themeColor="accent1" w:themeShade="BF"/>
    </w:rPr>
  </w:style>
  <w:style w:type="paragraph" w:styleId="Heading6">
    <w:name w:val="heading 6"/>
    <w:basedOn w:val="Normal"/>
    <w:next w:val="Normal"/>
    <w:link w:val="Heading6Char"/>
    <w:uiPriority w:val="9"/>
    <w:semiHidden/>
    <w:unhideWhenUsed/>
    <w:qFormat/>
    <w:rsid w:val="009E3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395"/>
    <w:rPr>
      <w:rFonts w:ascii="Tenorite" w:eastAsiaTheme="majorEastAsia" w:hAnsi="Tenorite" w:cstheme="majorBidi"/>
      <w:color w:val="1D2A50" w:themeColor="text2"/>
      <w:sz w:val="40"/>
      <w:szCs w:val="40"/>
    </w:rPr>
  </w:style>
  <w:style w:type="character" w:customStyle="1" w:styleId="Heading2Char">
    <w:name w:val="Heading 2 Char"/>
    <w:basedOn w:val="DefaultParagraphFont"/>
    <w:link w:val="Heading2"/>
    <w:uiPriority w:val="9"/>
    <w:rsid w:val="001B0395"/>
    <w:rPr>
      <w:rFonts w:ascii="Tenorite" w:eastAsiaTheme="majorEastAsia" w:hAnsi="Tenorite" w:cstheme="majorBidi"/>
      <w:b/>
      <w:color w:val="1D2A50" w:themeColor="text2"/>
      <w:sz w:val="28"/>
      <w:szCs w:val="32"/>
    </w:rPr>
  </w:style>
  <w:style w:type="character" w:customStyle="1" w:styleId="Heading3Char">
    <w:name w:val="Heading 3 Char"/>
    <w:basedOn w:val="DefaultParagraphFont"/>
    <w:link w:val="Heading3"/>
    <w:uiPriority w:val="9"/>
    <w:rsid w:val="001B0395"/>
    <w:rPr>
      <w:rFonts w:ascii="Tenorite" w:eastAsiaTheme="majorEastAsia" w:hAnsi="Tenorite" w:cstheme="majorBidi"/>
      <w:color w:val="6D0034" w:themeColor="accent1" w:themeShade="BF"/>
      <w:sz w:val="26"/>
      <w:szCs w:val="28"/>
    </w:rPr>
  </w:style>
  <w:style w:type="character" w:customStyle="1" w:styleId="Heading4Char">
    <w:name w:val="Heading 4 Char"/>
    <w:basedOn w:val="DefaultParagraphFont"/>
    <w:link w:val="Heading4"/>
    <w:uiPriority w:val="9"/>
    <w:semiHidden/>
    <w:rsid w:val="001B0395"/>
    <w:rPr>
      <w:rFonts w:ascii="Tenorite" w:eastAsiaTheme="majorEastAsia" w:hAnsi="Tenorite" w:cstheme="majorBidi"/>
      <w:b/>
      <w:iCs/>
      <w:color w:val="6D0034" w:themeColor="accent1" w:themeShade="BF"/>
    </w:rPr>
  </w:style>
  <w:style w:type="character" w:customStyle="1" w:styleId="Heading5Char">
    <w:name w:val="Heading 5 Char"/>
    <w:basedOn w:val="DefaultParagraphFont"/>
    <w:link w:val="Heading5"/>
    <w:uiPriority w:val="9"/>
    <w:semiHidden/>
    <w:rsid w:val="009E3DD4"/>
    <w:rPr>
      <w:rFonts w:eastAsiaTheme="majorEastAsia" w:cstheme="majorBidi"/>
      <w:color w:val="6D0034" w:themeColor="accent1" w:themeShade="BF"/>
    </w:rPr>
  </w:style>
  <w:style w:type="character" w:customStyle="1" w:styleId="Heading6Char">
    <w:name w:val="Heading 6 Char"/>
    <w:basedOn w:val="DefaultParagraphFont"/>
    <w:link w:val="Heading6"/>
    <w:uiPriority w:val="9"/>
    <w:semiHidden/>
    <w:rsid w:val="009E3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DD4"/>
    <w:rPr>
      <w:rFonts w:eastAsiaTheme="majorEastAsia" w:cstheme="majorBidi"/>
      <w:color w:val="272727" w:themeColor="text1" w:themeTint="D8"/>
    </w:rPr>
  </w:style>
  <w:style w:type="paragraph" w:styleId="Title">
    <w:name w:val="Title"/>
    <w:basedOn w:val="Normal"/>
    <w:next w:val="Normal"/>
    <w:link w:val="TitleChar"/>
    <w:uiPriority w:val="10"/>
    <w:qFormat/>
    <w:rsid w:val="001B0395"/>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B0395"/>
    <w:rPr>
      <w:rFonts w:ascii="Tenorite" w:eastAsiaTheme="majorEastAsia" w:hAnsi="Tenorite" w:cstheme="majorBidi"/>
      <w:color w:val="000000" w:themeColor="text1"/>
      <w:spacing w:val="-10"/>
      <w:kern w:val="28"/>
      <w:sz w:val="56"/>
      <w:szCs w:val="56"/>
    </w:rPr>
  </w:style>
  <w:style w:type="paragraph" w:styleId="Subtitle">
    <w:name w:val="Subtitle"/>
    <w:basedOn w:val="Normal"/>
    <w:next w:val="Normal"/>
    <w:link w:val="SubtitleChar"/>
    <w:uiPriority w:val="11"/>
    <w:qFormat/>
    <w:rsid w:val="009E3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DD4"/>
    <w:pPr>
      <w:spacing w:before="160"/>
      <w:jc w:val="center"/>
    </w:pPr>
    <w:rPr>
      <w:i/>
      <w:iCs/>
      <w:color w:val="404040" w:themeColor="text1" w:themeTint="BF"/>
    </w:rPr>
  </w:style>
  <w:style w:type="character" w:customStyle="1" w:styleId="QuoteChar">
    <w:name w:val="Quote Char"/>
    <w:basedOn w:val="DefaultParagraphFont"/>
    <w:link w:val="Quote"/>
    <w:uiPriority w:val="29"/>
    <w:rsid w:val="009E3DD4"/>
    <w:rPr>
      <w:i/>
      <w:iCs/>
      <w:color w:val="404040" w:themeColor="text1" w:themeTint="BF"/>
    </w:rPr>
  </w:style>
  <w:style w:type="paragraph" w:styleId="ListParagraph">
    <w:name w:val="List Paragraph"/>
    <w:basedOn w:val="Normal"/>
    <w:uiPriority w:val="34"/>
    <w:qFormat/>
    <w:rsid w:val="009E3DD4"/>
    <w:pPr>
      <w:ind w:left="720"/>
      <w:contextualSpacing/>
    </w:pPr>
  </w:style>
  <w:style w:type="character" w:styleId="IntenseEmphasis">
    <w:name w:val="Intense Emphasis"/>
    <w:basedOn w:val="DefaultParagraphFont"/>
    <w:uiPriority w:val="21"/>
    <w:qFormat/>
    <w:rsid w:val="009E3DD4"/>
    <w:rPr>
      <w:i/>
      <w:iCs/>
      <w:color w:val="6D0034" w:themeColor="accent1" w:themeShade="BF"/>
    </w:rPr>
  </w:style>
  <w:style w:type="paragraph" w:styleId="IntenseQuote">
    <w:name w:val="Intense Quote"/>
    <w:basedOn w:val="Normal"/>
    <w:next w:val="Normal"/>
    <w:link w:val="IntenseQuoteChar"/>
    <w:uiPriority w:val="30"/>
    <w:qFormat/>
    <w:rsid w:val="009E3DD4"/>
    <w:pPr>
      <w:pBdr>
        <w:top w:val="single" w:sz="4" w:space="10" w:color="6D0034" w:themeColor="accent1" w:themeShade="BF"/>
        <w:bottom w:val="single" w:sz="4" w:space="10" w:color="6D0034" w:themeColor="accent1" w:themeShade="BF"/>
      </w:pBdr>
      <w:spacing w:before="360" w:after="360"/>
      <w:ind w:left="864" w:right="864"/>
      <w:jc w:val="center"/>
    </w:pPr>
    <w:rPr>
      <w:i/>
      <w:iCs/>
      <w:color w:val="6D0034" w:themeColor="accent1" w:themeShade="BF"/>
    </w:rPr>
  </w:style>
  <w:style w:type="character" w:customStyle="1" w:styleId="IntenseQuoteChar">
    <w:name w:val="Intense Quote Char"/>
    <w:basedOn w:val="DefaultParagraphFont"/>
    <w:link w:val="IntenseQuote"/>
    <w:uiPriority w:val="30"/>
    <w:rsid w:val="009E3DD4"/>
    <w:rPr>
      <w:i/>
      <w:iCs/>
      <w:color w:val="6D0034" w:themeColor="accent1" w:themeShade="BF"/>
    </w:rPr>
  </w:style>
  <w:style w:type="character" w:styleId="IntenseReference">
    <w:name w:val="Intense Reference"/>
    <w:basedOn w:val="DefaultParagraphFont"/>
    <w:uiPriority w:val="32"/>
    <w:qFormat/>
    <w:rsid w:val="009E3DD4"/>
    <w:rPr>
      <w:b/>
      <w:bCs/>
      <w:smallCaps/>
      <w:color w:val="6D0034" w:themeColor="accent1" w:themeShade="BF"/>
      <w:spacing w:val="5"/>
    </w:rPr>
  </w:style>
  <w:style w:type="paragraph" w:styleId="Header">
    <w:name w:val="header"/>
    <w:basedOn w:val="Normal"/>
    <w:link w:val="HeaderChar"/>
    <w:uiPriority w:val="99"/>
    <w:unhideWhenUsed/>
    <w:rsid w:val="001B0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395"/>
  </w:style>
  <w:style w:type="paragraph" w:styleId="Footer">
    <w:name w:val="footer"/>
    <w:basedOn w:val="Normal"/>
    <w:link w:val="FooterChar"/>
    <w:uiPriority w:val="99"/>
    <w:unhideWhenUsed/>
    <w:rsid w:val="001B0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395"/>
  </w:style>
  <w:style w:type="character" w:styleId="Strong">
    <w:name w:val="Strong"/>
    <w:basedOn w:val="DefaultParagraphFont"/>
    <w:uiPriority w:val="22"/>
    <w:qFormat/>
    <w:rsid w:val="001B0395"/>
    <w:rPr>
      <w:rFonts w:ascii="Tenorite" w:hAnsi="Tenorite"/>
      <w:b/>
      <w:bCs/>
    </w:rPr>
  </w:style>
  <w:style w:type="character" w:styleId="Hyperlink">
    <w:name w:val="Hyperlink"/>
    <w:basedOn w:val="DefaultParagraphFont"/>
    <w:uiPriority w:val="99"/>
    <w:semiHidden/>
    <w:unhideWhenUsed/>
    <w:rsid w:val="007B3F2A"/>
    <w:rPr>
      <w:color w:val="0000FF"/>
      <w:u w:val="single"/>
    </w:rPr>
  </w:style>
  <w:style w:type="character" w:styleId="CommentReference">
    <w:name w:val="annotation reference"/>
    <w:basedOn w:val="DefaultParagraphFont"/>
    <w:uiPriority w:val="99"/>
    <w:semiHidden/>
    <w:unhideWhenUsed/>
    <w:rsid w:val="00F26965"/>
    <w:rPr>
      <w:sz w:val="16"/>
      <w:szCs w:val="16"/>
    </w:rPr>
  </w:style>
  <w:style w:type="paragraph" w:styleId="CommentText">
    <w:name w:val="annotation text"/>
    <w:basedOn w:val="Normal"/>
    <w:link w:val="CommentTextChar"/>
    <w:uiPriority w:val="99"/>
    <w:unhideWhenUsed/>
    <w:rsid w:val="00F26965"/>
    <w:pPr>
      <w:spacing w:line="240" w:lineRule="auto"/>
    </w:pPr>
    <w:rPr>
      <w:sz w:val="20"/>
      <w:szCs w:val="20"/>
    </w:rPr>
  </w:style>
  <w:style w:type="character" w:customStyle="1" w:styleId="CommentTextChar">
    <w:name w:val="Comment Text Char"/>
    <w:basedOn w:val="DefaultParagraphFont"/>
    <w:link w:val="CommentText"/>
    <w:uiPriority w:val="99"/>
    <w:rsid w:val="00F26965"/>
    <w:rPr>
      <w:rFonts w:ascii="DM Sans" w:hAnsi="DM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26965"/>
    <w:rPr>
      <w:b/>
      <w:bCs/>
    </w:rPr>
  </w:style>
  <w:style w:type="character" w:customStyle="1" w:styleId="CommentSubjectChar">
    <w:name w:val="Comment Subject Char"/>
    <w:basedOn w:val="CommentTextChar"/>
    <w:link w:val="CommentSubject"/>
    <w:uiPriority w:val="99"/>
    <w:semiHidden/>
    <w:rsid w:val="00F26965"/>
    <w:rPr>
      <w:rFonts w:ascii="DM Sans" w:hAnsi="DM Sans"/>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60794">
      <w:bodyDiv w:val="1"/>
      <w:marLeft w:val="0"/>
      <w:marRight w:val="0"/>
      <w:marTop w:val="0"/>
      <w:marBottom w:val="0"/>
      <w:divBdr>
        <w:top w:val="none" w:sz="0" w:space="0" w:color="auto"/>
        <w:left w:val="none" w:sz="0" w:space="0" w:color="auto"/>
        <w:bottom w:val="none" w:sz="0" w:space="0" w:color="auto"/>
        <w:right w:val="none" w:sz="0" w:space="0" w:color="auto"/>
      </w:divBdr>
    </w:div>
    <w:div w:id="732118959">
      <w:bodyDiv w:val="1"/>
      <w:marLeft w:val="0"/>
      <w:marRight w:val="0"/>
      <w:marTop w:val="0"/>
      <w:marBottom w:val="0"/>
      <w:divBdr>
        <w:top w:val="none" w:sz="0" w:space="0" w:color="auto"/>
        <w:left w:val="none" w:sz="0" w:space="0" w:color="auto"/>
        <w:bottom w:val="none" w:sz="0" w:space="0" w:color="auto"/>
        <w:right w:val="none" w:sz="0" w:space="0" w:color="auto"/>
      </w:divBdr>
    </w:div>
    <w:div w:id="1266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la.Thompson\OneDrive%20-%20LGA\Documents\ADASS%20Word%20Template.dotx" TargetMode="External"/></Relationships>
</file>

<file path=word/theme/theme1.xml><?xml version="1.0" encoding="utf-8"?>
<a:theme xmlns:a="http://schemas.openxmlformats.org/drawingml/2006/main" name="Adass MS theme">
  <a:themeElements>
    <a:clrScheme name="Adass">
      <a:dk1>
        <a:srgbClr val="000000"/>
      </a:dk1>
      <a:lt1>
        <a:srgbClr val="FFFFFF"/>
      </a:lt1>
      <a:dk2>
        <a:srgbClr val="1D2A50"/>
      </a:dk2>
      <a:lt2>
        <a:srgbClr val="E8E8E8"/>
      </a:lt2>
      <a:accent1>
        <a:srgbClr val="920146"/>
      </a:accent1>
      <a:accent2>
        <a:srgbClr val="E97132"/>
      </a:accent2>
      <a:accent3>
        <a:srgbClr val="1D95CB"/>
      </a:accent3>
      <a:accent4>
        <a:srgbClr val="029C92"/>
      </a:accent4>
      <a:accent5>
        <a:srgbClr val="C3D350"/>
      </a:accent5>
      <a:accent6>
        <a:srgbClr val="F9C80E"/>
      </a:accent6>
      <a:hlink>
        <a:srgbClr val="46589E"/>
      </a:hlink>
      <a:folHlink>
        <a:srgbClr val="85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1c08fc-9c13-4505-a2d6-506b803ea195">
      <Terms xmlns="http://schemas.microsoft.com/office/infopath/2007/PartnerControls"/>
    </lcf76f155ced4ddcb4097134ff3c332f>
    <TaxCatchAll xmlns="ef78dcbe-32e2-4dfb-a0f7-d878a243a70d" xsi:nil="true"/>
    <_Flow_SignoffStatus xmlns="ce1c08fc-9c13-4505-a2d6-506b803ea195" xsi:nil="true"/>
    <PostedSage xmlns="ce1c08fc-9c13-4505-a2d6-506b803ea195" xsi:nil="true"/>
    <Session_x0023_ xmlns="ce1c08fc-9c13-4505-a2d6-506b803ea1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CF961C21F6E49AD55B0C5697E6B98" ma:contentTypeVersion="23" ma:contentTypeDescription="Create a new document." ma:contentTypeScope="" ma:versionID="c46df7b7cc456f9ce71c5d7dc28fd339">
  <xsd:schema xmlns:xsd="http://www.w3.org/2001/XMLSchema" xmlns:xs="http://www.w3.org/2001/XMLSchema" xmlns:p="http://schemas.microsoft.com/office/2006/metadata/properties" xmlns:ns2="ce1c08fc-9c13-4505-a2d6-506b803ea195" xmlns:ns3="ef78dcbe-32e2-4dfb-a0f7-d878a243a70d" targetNamespace="http://schemas.microsoft.com/office/2006/metadata/properties" ma:root="true" ma:fieldsID="1d307306e2f536a5d4846861603fde67" ns2:_="" ns3:_="">
    <xsd:import namespace="ce1c08fc-9c13-4505-a2d6-506b803ea195"/>
    <xsd:import namespace="ef78dcbe-32e2-4dfb-a0f7-d878a243a7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Location" minOccurs="0"/>
                <xsd:element ref="ns2:Session_x0023_" minOccurs="0"/>
                <xsd:element ref="ns2:MediaLengthInSeconds" minOccurs="0"/>
                <xsd:element ref="ns2:lcf76f155ced4ddcb4097134ff3c332f" minOccurs="0"/>
                <xsd:element ref="ns3:TaxCatchAll" minOccurs="0"/>
                <xsd:element ref="ns2:MediaServiceObjectDetectorVersions" minOccurs="0"/>
                <xsd:element ref="ns2:PostedSag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c08fc-9c13-4505-a2d6-506b803e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ession_x0023_" ma:index="21" nillable="true" ma:displayName="Session #" ma:format="Dropdown" ma:internalName="Session_x0023_"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ostedSage" ma:index="27" nillable="true" ma:displayName="Posted Sage" ma:format="DateOnly" ma:internalName="PostedSag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8dcbe-32e2-4dfb-a0f7-d878a243a7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60e3db-a7cd-4182-8dfe-aa3209697994}" ma:internalName="TaxCatchAll" ma:showField="CatchAllData" ma:web="ef78dcbe-32e2-4dfb-a0f7-d878a243a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7AAB8-D2EE-43DD-B8B5-0BA0C9DF874D}">
  <ds:schemaRefs>
    <ds:schemaRef ds:uri="http://schemas.microsoft.com/sharepoint/v3/contenttype/forms"/>
  </ds:schemaRefs>
</ds:datastoreItem>
</file>

<file path=customXml/itemProps2.xml><?xml version="1.0" encoding="utf-8"?>
<ds:datastoreItem xmlns:ds="http://schemas.openxmlformats.org/officeDocument/2006/customXml" ds:itemID="{C638CDC3-C0D0-41C1-A0E2-525E21DEA4F4}">
  <ds:schemaRefs>
    <ds:schemaRef ds:uri="http://schemas.microsoft.com/office/2006/metadata/properties"/>
    <ds:schemaRef ds:uri="http://schemas.microsoft.com/office/infopath/2007/PartnerControls"/>
    <ds:schemaRef ds:uri="ce1c08fc-9c13-4505-a2d6-506b803ea195"/>
    <ds:schemaRef ds:uri="ef78dcbe-32e2-4dfb-a0f7-d878a243a70d"/>
  </ds:schemaRefs>
</ds:datastoreItem>
</file>

<file path=customXml/itemProps3.xml><?xml version="1.0" encoding="utf-8"?>
<ds:datastoreItem xmlns:ds="http://schemas.openxmlformats.org/officeDocument/2006/customXml" ds:itemID="{04599B97-5A12-47F4-8E59-8E60F7857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c08fc-9c13-4505-a2d6-506b803ea195"/>
    <ds:schemaRef ds:uri="ef78dcbe-32e2-4dfb-a0f7-d878a243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ADASS Word Template</Template>
  <TotalTime>3</TotalTime>
  <Pages>4</Pages>
  <Words>1071</Words>
  <Characters>5850</Characters>
  <Application>Microsoft Office Word</Application>
  <DocSecurity>0</DocSecurity>
  <Lines>124</Lines>
  <Paragraphs>86</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Newman</dc:creator>
  <cp:keywords/>
  <dc:description/>
  <cp:lastModifiedBy>Isla Thompson</cp:lastModifiedBy>
  <cp:revision>2</cp:revision>
  <dcterms:created xsi:type="dcterms:W3CDTF">2025-11-03T14:33:00Z</dcterms:created>
  <dcterms:modified xsi:type="dcterms:W3CDTF">2025-11-03T14:33:00Z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0x010100697CF961C21F6E49AD55B0C5697E6B98</vt:lpwstr>
  </property>
  <property fmtid="{D5CDD505-2E9C-101B-9397-08002B2CF9AE}" pid="3" name="MediaServiceImageTags">
    <vt:lpwstr/>
  </property>
</Properties>
</file>